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AA4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40" w:lineRule="exact"/>
        <w:ind w:left="0" w:right="0" w:firstLine="880" w:firstLineChars="200"/>
        <w:jc w:val="center"/>
        <w:textAlignment w:val="auto"/>
        <w:rPr>
          <w:rFonts w:hint="eastAsia" w:ascii="方正小标宋简体" w:hAnsi="方正小标宋简体" w:eastAsia="方正小标宋简体" w:cs="方正小标宋简体"/>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caps w:val="0"/>
          <w:color w:val="333333"/>
          <w:spacing w:val="0"/>
          <w:kern w:val="0"/>
          <w:sz w:val="44"/>
          <w:szCs w:val="44"/>
          <w:shd w:val="clear" w:fill="FFFFFF"/>
          <w:lang w:val="en-US" w:eastAsia="zh-CN" w:bidi="ar"/>
        </w:rPr>
        <w:t>全日制、非全日制研究生申请毕业、学位注意事项</w:t>
      </w:r>
    </w:p>
    <w:p w14:paraId="6C0885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kern w:val="0"/>
          <w:sz w:val="32"/>
          <w:szCs w:val="32"/>
          <w:shd w:val="clear" w:fill="FFFFFF"/>
          <w:lang w:bidi="ar"/>
        </w:rPr>
      </w:pPr>
      <w:r>
        <w:rPr>
          <w:rFonts w:hint="eastAsia" w:ascii="黑体" w:hAnsi="黑体" w:eastAsia="黑体" w:cs="黑体"/>
          <w:caps w:val="0"/>
          <w:color w:val="333333"/>
          <w:spacing w:val="0"/>
          <w:kern w:val="0"/>
          <w:sz w:val="32"/>
          <w:szCs w:val="32"/>
          <w:shd w:val="clear" w:fill="FFFFFF"/>
          <w:lang w:val="en-US" w:eastAsia="zh-CN" w:bidi="ar"/>
        </w:rPr>
        <w:t>一、信息审核</w:t>
      </w:r>
    </w:p>
    <w:p w14:paraId="7E4995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1．申请论文送审的全日制、非全日制</w:t>
      </w:r>
      <w:r>
        <w:rPr>
          <w:rFonts w:hint="eastAsia" w:ascii="仿宋_GB2312" w:hAnsi="仿宋_GB2312" w:eastAsia="仿宋_GB2312" w:cs="仿宋_GB2312"/>
          <w:b/>
          <w:bCs/>
          <w:caps w:val="0"/>
          <w:color w:val="auto"/>
          <w:spacing w:val="0"/>
          <w:kern w:val="0"/>
          <w:sz w:val="32"/>
          <w:szCs w:val="32"/>
          <w:highlight w:val="none"/>
          <w:shd w:val="clear" w:fill="FFFFFF"/>
          <w:lang w:val="en-US" w:eastAsia="zh-CN" w:bidi="ar"/>
        </w:rPr>
        <w:t>在研究生管理系统（以下简称系统）</w:t>
      </w: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提交申请前请认真检查是否已按要求完成各项任务，认真填报系统中的“培养手册”模块的各培养环节记录，提交至导师、培养单位、学院审核。</w:t>
      </w:r>
    </w:p>
    <w:p w14:paraId="2C6AD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2．各位研究生指导教师应对预毕业研究生的课程学习、课题研究、临床工作、学位论文等完成情况进行严格审查，组织研究生完成专业课考试（具体要求见系统“毕业申请”模块）。</w:t>
      </w:r>
    </w:p>
    <w:p w14:paraId="4AD1C8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kern w:val="0"/>
          <w:sz w:val="32"/>
          <w:szCs w:val="32"/>
          <w:highlight w:val="none"/>
          <w:shd w:val="clear" w:fill="FFFFFF"/>
          <w:lang w:bidi="ar"/>
        </w:rPr>
      </w:pPr>
      <w:r>
        <w:rPr>
          <w:rFonts w:hint="eastAsia" w:ascii="黑体" w:hAnsi="黑体" w:eastAsia="黑体" w:cs="黑体"/>
          <w:caps w:val="0"/>
          <w:color w:val="auto"/>
          <w:spacing w:val="0"/>
          <w:kern w:val="0"/>
          <w:sz w:val="32"/>
          <w:szCs w:val="32"/>
          <w:highlight w:val="none"/>
          <w:shd w:val="clear" w:fill="FFFFFF"/>
          <w:lang w:val="en-US" w:eastAsia="zh-CN" w:bidi="ar"/>
        </w:rPr>
        <w:t>二、提交毕业申请材料</w:t>
      </w:r>
    </w:p>
    <w:p w14:paraId="5AA858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1.申请论文送审的全日制、非全日制研究生请于申请提交截止日期两天前将以下材料提交所属学院研究生管理部门审核是否填写完整并签章：①专业课试卷；②《培养过程审查表》（从系统“毕业申请”模块导出）；③《执业医师资格证书》复印件或通过考试的相关证明（临床医学、口腔医学专业学位硕士研究生提交）。专业课试卷由学院审核存档，其余材料学院审核后返回研究生保管。</w:t>
      </w:r>
    </w:p>
    <w:p w14:paraId="48D01A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2.专业学位研究生毕业技能考试：《福建医科大学专业学位研究生专业能力毕业考核实施办法》（医大研院〔2025〕20号）参加由学院组织的专业能力毕业考核，填报《专业学位硕士研究生实践能力毕业考核情况表》（详见后续通知）。</w:t>
      </w:r>
    </w:p>
    <w:p w14:paraId="3DBAB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kern w:val="0"/>
          <w:sz w:val="32"/>
          <w:szCs w:val="32"/>
          <w:highlight w:val="none"/>
          <w:shd w:val="clear" w:fill="FFFFFF"/>
          <w:lang w:val="en-US" w:eastAsia="zh-CN" w:bidi="ar"/>
        </w:rPr>
      </w:pPr>
      <w:r>
        <w:rPr>
          <w:rFonts w:hint="eastAsia" w:ascii="黑体" w:hAnsi="黑体" w:eastAsia="黑体" w:cs="黑体"/>
          <w:caps w:val="0"/>
          <w:color w:val="auto"/>
          <w:spacing w:val="0"/>
          <w:kern w:val="0"/>
          <w:sz w:val="32"/>
          <w:szCs w:val="32"/>
          <w:highlight w:val="none"/>
          <w:shd w:val="clear" w:fill="FFFFFF"/>
          <w:lang w:val="en-US" w:eastAsia="zh-CN" w:bidi="ar"/>
        </w:rPr>
        <w:t>三、学位论文送审工作</w:t>
      </w:r>
    </w:p>
    <w:p w14:paraId="5562B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1.学位论文格式参照《福建医科大学研究生学位论文基本要求和格式规范》（见“学位论文规范”模块）的要求。一般情况下学位论文正文（包括引言、材料和方法、结果及讨论）的字数要求为（不包括图表）：申请博士学位，不少于3万字</w:t>
      </w:r>
      <w:r>
        <w:rPr>
          <w:rFonts w:hint="eastAsia" w:ascii="仿宋_GB2312" w:hAnsi="宋体" w:eastAsia="仿宋_GB2312" w:cs="宋体"/>
          <w:color w:val="auto"/>
          <w:kern w:val="0"/>
          <w:sz w:val="32"/>
          <w:szCs w:val="32"/>
          <w:highlight w:val="none"/>
          <w:u w:val="none"/>
          <w:lang w:val="en-US" w:eastAsia="zh-CN"/>
        </w:rPr>
        <w:t>；</w:t>
      </w: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申请硕士学术学位，不少于1.5万字；申请硕士专业学位，不少于1万字；博士学位论文摘要字数为1500字左右，</w:t>
      </w:r>
      <w:r>
        <w:rPr>
          <w:rFonts w:ascii="仿宋_GB2312" w:hAnsi="宋体" w:eastAsia="仿宋_GB2312" w:cs="宋体"/>
          <w:color w:val="auto"/>
          <w:kern w:val="0"/>
          <w:sz w:val="32"/>
          <w:szCs w:val="32"/>
          <w:highlight w:val="none"/>
        </w:rPr>
        <w:t>硕士</w:t>
      </w:r>
      <w:r>
        <w:rPr>
          <w:rFonts w:hint="eastAsia" w:ascii="仿宋_GB2312" w:hAnsi="宋体" w:eastAsia="仿宋_GB2312" w:cs="宋体"/>
          <w:color w:val="auto"/>
          <w:kern w:val="0"/>
          <w:sz w:val="32"/>
          <w:szCs w:val="32"/>
          <w:highlight w:val="none"/>
        </w:rPr>
        <w:t>学位</w:t>
      </w:r>
      <w:r>
        <w:rPr>
          <w:rFonts w:ascii="仿宋_GB2312" w:hAnsi="宋体" w:eastAsia="仿宋_GB2312" w:cs="宋体"/>
          <w:color w:val="auto"/>
          <w:kern w:val="0"/>
          <w:sz w:val="32"/>
          <w:szCs w:val="32"/>
          <w:highlight w:val="none"/>
        </w:rPr>
        <w:t>论文摘要字数为</w:t>
      </w:r>
      <w:r>
        <w:rPr>
          <w:rFonts w:hint="eastAsia" w:ascii="仿宋_GB2312" w:hAnsi="宋体" w:eastAsia="仿宋_GB2312" w:cs="宋体"/>
          <w:color w:val="auto"/>
          <w:kern w:val="0"/>
          <w:sz w:val="32"/>
          <w:szCs w:val="32"/>
          <w:highlight w:val="none"/>
        </w:rPr>
        <w:t>1000</w:t>
      </w:r>
      <w:r>
        <w:rPr>
          <w:rFonts w:ascii="仿宋_GB2312" w:hAnsi="宋体" w:eastAsia="仿宋_GB2312" w:cs="宋体"/>
          <w:color w:val="auto"/>
          <w:kern w:val="0"/>
          <w:sz w:val="32"/>
          <w:szCs w:val="32"/>
          <w:highlight w:val="none"/>
        </w:rPr>
        <w:t>字</w:t>
      </w:r>
      <w:r>
        <w:rPr>
          <w:rFonts w:hint="eastAsia" w:ascii="仿宋_GB2312" w:hAnsi="宋体" w:eastAsia="仿宋_GB2312" w:cs="宋体"/>
          <w:color w:val="auto"/>
          <w:kern w:val="0"/>
          <w:sz w:val="32"/>
          <w:szCs w:val="32"/>
          <w:highlight w:val="none"/>
        </w:rPr>
        <w:t>左右（专业学位论文800字左右）</w:t>
      </w: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w:t>
      </w:r>
    </w:p>
    <w:p w14:paraId="495CED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2.送审论文仅包括论文封面、目录、中文摘要、英文摘要、正文、综述，不得出现“致谢”部分的内容。论文内容不得出现申请人、指导教师、相关人员的姓名、单位名称和地址。如有出现违规内容，被送审系统发现而退回，影响评阅等后果自负。</w:t>
      </w:r>
      <w:r>
        <w:rPr>
          <w:rFonts w:hint="eastAsia" w:ascii="仿宋_GB2312" w:hAnsi="仿宋_GB2312" w:eastAsia="仿宋_GB2312" w:cs="仿宋_GB2312"/>
          <w:i w:val="0"/>
          <w:caps w:val="0"/>
          <w:color w:val="auto"/>
          <w:spacing w:val="0"/>
          <w:kern w:val="0"/>
          <w:sz w:val="32"/>
          <w:szCs w:val="32"/>
          <w:highlight w:val="none"/>
          <w:shd w:val="clear" w:fill="FFFFFF"/>
          <w:lang w:bidi="ar"/>
        </w:rPr>
        <w:t>查重版仅仅是删除了送审版中的“材料和方法</w:t>
      </w:r>
      <w:r>
        <w:rPr>
          <w:rFonts w:hint="eastAsia" w:ascii="仿宋_GB2312" w:hAnsi="仿宋_GB2312" w:eastAsia="仿宋_GB2312" w:cs="仿宋_GB2312"/>
          <w:i w:val="0"/>
          <w:caps w:val="0"/>
          <w:color w:val="auto"/>
          <w:spacing w:val="0"/>
          <w:kern w:val="0"/>
          <w:sz w:val="32"/>
          <w:szCs w:val="32"/>
          <w:highlight w:val="none"/>
          <w:shd w:val="clear" w:fill="FFFFFF"/>
          <w:lang w:eastAsia="zh-CN" w:bidi="ar"/>
        </w:rPr>
        <w:t>”“</w:t>
      </w:r>
      <w:r>
        <w:rPr>
          <w:rFonts w:hint="eastAsia" w:ascii="仿宋_GB2312" w:hAnsi="仿宋_GB2312" w:eastAsia="仿宋_GB2312" w:cs="仿宋_GB2312"/>
          <w:i w:val="0"/>
          <w:caps w:val="0"/>
          <w:color w:val="auto"/>
          <w:spacing w:val="0"/>
          <w:kern w:val="0"/>
          <w:sz w:val="32"/>
          <w:szCs w:val="32"/>
          <w:highlight w:val="none"/>
          <w:shd w:val="clear" w:fill="FFFFFF"/>
          <w:lang w:bidi="ar"/>
        </w:rPr>
        <w:t>参考文献”和“综述”，其他内容是一致</w:t>
      </w:r>
      <w:r>
        <w:rPr>
          <w:rFonts w:hint="eastAsia" w:ascii="仿宋_GB2312" w:hAnsi="仿宋_GB2312" w:eastAsia="仿宋_GB2312" w:cs="仿宋_GB2312"/>
          <w:i w:val="0"/>
          <w:caps w:val="0"/>
          <w:color w:val="auto"/>
          <w:spacing w:val="0"/>
          <w:kern w:val="0"/>
          <w:sz w:val="32"/>
          <w:szCs w:val="32"/>
          <w:highlight w:val="none"/>
          <w:shd w:val="clear" w:fill="FFFFFF"/>
          <w:lang w:eastAsia="zh-CN" w:bidi="ar"/>
        </w:rPr>
        <w:t>。</w:t>
      </w:r>
    </w:p>
    <w:p w14:paraId="6AF60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3.通过学术不端检测的论文将由研究生院或学院直接将电子版送审；未通过学术不端检测的论文，学生根据要求进行修订，提交进行二次检测，若仍未通过，推迟到下一批次申请学位。</w:t>
      </w:r>
    </w:p>
    <w:p w14:paraId="6DF871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4.学位论文或实践成果评阅合格有效期为半年，逾期未安排答辩者，学位论文或实践成果需重新送审。</w:t>
      </w:r>
    </w:p>
    <w:p w14:paraId="1952B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kern w:val="0"/>
          <w:sz w:val="32"/>
          <w:szCs w:val="32"/>
          <w:highlight w:val="none"/>
          <w:shd w:val="clear" w:fill="FFFFFF"/>
          <w:lang w:bidi="ar"/>
        </w:rPr>
      </w:pPr>
      <w:r>
        <w:rPr>
          <w:rFonts w:hint="eastAsia" w:ascii="黑体" w:hAnsi="黑体" w:eastAsia="黑体" w:cs="黑体"/>
          <w:caps w:val="0"/>
          <w:color w:val="auto"/>
          <w:spacing w:val="0"/>
          <w:kern w:val="0"/>
          <w:sz w:val="32"/>
          <w:szCs w:val="32"/>
          <w:highlight w:val="none"/>
          <w:shd w:val="clear" w:fill="FFFFFF"/>
          <w:lang w:val="en-US" w:eastAsia="zh-CN" w:bidi="ar"/>
        </w:rPr>
        <w:t>四、学位论文答辩</w:t>
      </w:r>
    </w:p>
    <w:p w14:paraId="17FAC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highlight w:val="none"/>
        </w:rPr>
      </w:pP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答辩申请最迟必须于答辩前一周提交到各学位评定分委员会，由各学位评定分委员会进行审核（同时在系统提出申请），内容包括答辩申请受理意见、学位论文或实践成果评阅情况、答辩安排（含答辩委员会组成人选、答辩时间和地点）等。答辩委员会成员资格查阅《福建医科大学博士</w:t>
      </w:r>
      <w:bookmarkStart w:id="0" w:name="_GoBack"/>
      <w:bookmarkEnd w:id="0"/>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硕士学位成果答辩工作规定》（见“学生答辩申请”模块）。学校将组织人员对研究生答辩进行督导。</w:t>
      </w:r>
    </w:p>
    <w:p w14:paraId="622A7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kern w:val="0"/>
          <w:sz w:val="32"/>
          <w:szCs w:val="32"/>
          <w:highlight w:val="none"/>
          <w:shd w:val="clear" w:fill="FFFFFF"/>
          <w:lang w:bidi="ar"/>
        </w:rPr>
      </w:pPr>
      <w:r>
        <w:rPr>
          <w:rFonts w:hint="eastAsia" w:ascii="黑体" w:hAnsi="黑体" w:eastAsia="黑体" w:cs="黑体"/>
          <w:caps w:val="0"/>
          <w:color w:val="auto"/>
          <w:spacing w:val="0"/>
          <w:kern w:val="0"/>
          <w:sz w:val="32"/>
          <w:szCs w:val="32"/>
          <w:highlight w:val="none"/>
          <w:shd w:val="clear" w:fill="FFFFFF"/>
          <w:lang w:val="en-US" w:eastAsia="zh-CN" w:bidi="ar"/>
        </w:rPr>
        <w:t>五、毕业、学位材料</w:t>
      </w:r>
    </w:p>
    <w:p w14:paraId="573E9B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1.请按照“研究生提交毕业、学位材料清单”（详见附件3）提交全部材料到所在学院，并在系统提交学位申请。</w:t>
      </w:r>
    </w:p>
    <w:p w14:paraId="6F120B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2.</w:t>
      </w:r>
      <w:r>
        <w:rPr>
          <w:rFonts w:hint="eastAsia" w:ascii="仿宋_GB2312" w:hAnsi="仿宋_GB2312" w:eastAsia="仿宋_GB2312" w:cs="仿宋_GB2312"/>
          <w:b/>
          <w:bCs/>
          <w:caps w:val="0"/>
          <w:color w:val="FF0000"/>
          <w:spacing w:val="0"/>
          <w:kern w:val="0"/>
          <w:sz w:val="32"/>
          <w:szCs w:val="32"/>
          <w:shd w:val="clear" w:fill="FFFFFF"/>
          <w:lang w:val="en-US" w:eastAsia="zh-CN" w:bidi="ar"/>
        </w:rPr>
        <w:t>在系统上传的“学位照片”须与“学信网”一致</w:t>
      </w:r>
      <w:r>
        <w:rPr>
          <w:rFonts w:hint="eastAsia" w:ascii="仿宋_GB2312" w:hAnsi="仿宋_GB2312" w:eastAsia="仿宋_GB2312" w:cs="仿宋_GB2312"/>
          <w:caps w:val="0"/>
          <w:color w:val="333333"/>
          <w:spacing w:val="0"/>
          <w:kern w:val="0"/>
          <w:sz w:val="32"/>
          <w:szCs w:val="32"/>
          <w:shd w:val="clear" w:fill="FFFFFF"/>
          <w:lang w:val="en-US" w:eastAsia="zh-CN" w:bidi="ar"/>
        </w:rPr>
        <w:t>。逾期将不再收取学位申请材料，请同学自行将材料保留至下一批次再提交。</w:t>
      </w:r>
    </w:p>
    <w:p w14:paraId="77F6B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3.硕士研究生可根据个人需要，在提交申请毕业、学位材料前务必自行复印好自己的《评阅意见书》《答辩决议书》及《成绩单》，以便毕业后报考博士研究生时提交报考学校审查。</w:t>
      </w:r>
    </w:p>
    <w:p w14:paraId="768440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4.全日制、非全日制在</w:t>
      </w:r>
      <w:r>
        <w:rPr>
          <w:rFonts w:hint="eastAsia" w:ascii="仿宋_GB2312" w:hAnsi="仿宋_GB2312" w:eastAsia="仿宋_GB2312" w:cs="仿宋_GB2312"/>
          <w:b/>
          <w:bCs/>
          <w:caps w:val="0"/>
          <w:color w:val="FF0000"/>
          <w:spacing w:val="0"/>
          <w:kern w:val="0"/>
          <w:sz w:val="32"/>
          <w:szCs w:val="32"/>
          <w:shd w:val="clear" w:fill="FFFFFF"/>
          <w:lang w:val="en-US" w:eastAsia="zh-CN" w:bidi="ar"/>
        </w:rPr>
        <w:t>系统</w:t>
      </w:r>
      <w:r>
        <w:rPr>
          <w:rFonts w:hint="eastAsia" w:ascii="仿宋_GB2312" w:hAnsi="仿宋_GB2312" w:eastAsia="仿宋_GB2312" w:cs="仿宋_GB2312"/>
          <w:caps w:val="0"/>
          <w:color w:val="333333"/>
          <w:spacing w:val="0"/>
          <w:kern w:val="0"/>
          <w:sz w:val="32"/>
          <w:szCs w:val="32"/>
          <w:shd w:val="clear" w:fill="FFFFFF"/>
          <w:lang w:val="en-US" w:eastAsia="zh-CN" w:bidi="ar"/>
        </w:rPr>
        <w:t>提交研究生毕业申请及学位授予信息时，需同时填写提交“学生论文发表情况登记”（在学期间已发表的文章）。</w:t>
      </w:r>
    </w:p>
    <w:p w14:paraId="1CC4C6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根据《福建医科大学研究生发表学术论文的相关规定》（闽医大〔2022〕49号）文件的要求，博士研究生发表符合要求的</w:t>
      </w:r>
      <w:r>
        <w:rPr>
          <w:rFonts w:hint="eastAsia" w:ascii="仿宋_GB2312" w:hAnsi="仿宋_GB2312" w:eastAsia="仿宋_GB2312" w:cs="仿宋_GB2312"/>
          <w:color w:val="333333"/>
          <w:kern w:val="0"/>
          <w:sz w:val="32"/>
          <w:szCs w:val="32"/>
          <w:shd w:val="clear" w:fill="FFFFFF"/>
          <w:lang w:bidi="ar"/>
        </w:rPr>
        <w:t>SCI</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卓越期刊</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文章（在OnLine检索到或已被期刊杂志接受</w:t>
      </w:r>
      <w:r>
        <w:rPr>
          <w:rFonts w:hint="eastAsia" w:ascii="仿宋_GB2312" w:hAnsi="仿宋_GB2312" w:eastAsia="仿宋_GB2312" w:cs="仿宋_GB2312"/>
          <w:b/>
          <w:bCs/>
          <w:caps w:val="0"/>
          <w:color w:val="333333"/>
          <w:spacing w:val="0"/>
          <w:kern w:val="0"/>
          <w:sz w:val="32"/>
          <w:szCs w:val="32"/>
          <w:shd w:val="clear" w:fill="FFFFFF"/>
          <w:lang w:val="en-US" w:eastAsia="zh-CN" w:bidi="ar"/>
        </w:rPr>
        <w:t>（</w:t>
      </w:r>
      <w:r>
        <w:rPr>
          <w:rFonts w:hint="eastAsia" w:ascii="仿宋_GB2312" w:hAnsi="仿宋_GB2312" w:eastAsia="仿宋_GB2312" w:cs="仿宋_GB2312"/>
          <w:b/>
          <w:bCs/>
          <w:caps w:val="0"/>
          <w:color w:val="FF0000"/>
          <w:spacing w:val="0"/>
          <w:kern w:val="0"/>
          <w:sz w:val="32"/>
          <w:szCs w:val="32"/>
          <w:shd w:val="clear" w:fill="FFFFFF"/>
          <w:lang w:val="en-US" w:eastAsia="zh-CN" w:bidi="ar"/>
        </w:rPr>
        <w:t>仅全日制应届毕业生</w:t>
      </w:r>
      <w:r>
        <w:rPr>
          <w:rFonts w:hint="eastAsia" w:ascii="仿宋_GB2312" w:hAnsi="仿宋_GB2312" w:eastAsia="仿宋_GB2312" w:cs="仿宋_GB2312"/>
          <w:b/>
          <w:bCs/>
          <w:caps w:val="0"/>
          <w:color w:val="333333"/>
          <w:spacing w:val="0"/>
          <w:kern w:val="0"/>
          <w:sz w:val="32"/>
          <w:szCs w:val="32"/>
          <w:shd w:val="clear" w:fill="FFFFFF"/>
          <w:lang w:val="en-US"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），方能提交学位申请材料，如因为文章原因而无法申请学位的博士生，请自行保存《学位申请表》（一式二份），于毕业后规定时间提交</w:t>
      </w:r>
      <w:r>
        <w:rPr>
          <w:rFonts w:hint="eastAsia" w:ascii="仿宋_GB2312" w:hAnsi="仿宋_GB2312" w:eastAsia="仿宋_GB2312" w:cs="仿宋_GB2312"/>
          <w:b/>
          <w:bCs/>
          <w:caps w:val="0"/>
          <w:color w:val="FF0000"/>
          <w:spacing w:val="0"/>
          <w:kern w:val="0"/>
          <w:sz w:val="32"/>
          <w:szCs w:val="32"/>
          <w:shd w:val="clear" w:fill="FFFFFF"/>
          <w:lang w:val="en-US" w:eastAsia="zh-CN" w:bidi="ar"/>
        </w:rPr>
        <w:t>正式发表</w:t>
      </w:r>
      <w:r>
        <w:rPr>
          <w:rFonts w:hint="eastAsia" w:ascii="仿宋_GB2312" w:hAnsi="仿宋_GB2312" w:eastAsia="仿宋_GB2312" w:cs="仿宋_GB2312"/>
          <w:caps w:val="0"/>
          <w:color w:val="333333"/>
          <w:spacing w:val="0"/>
          <w:kern w:val="0"/>
          <w:sz w:val="32"/>
          <w:szCs w:val="32"/>
          <w:shd w:val="clear" w:fill="FFFFFF"/>
          <w:lang w:val="en-US" w:eastAsia="zh-CN" w:bidi="ar"/>
        </w:rPr>
        <w:t>且符合要求的</w:t>
      </w:r>
      <w:r>
        <w:rPr>
          <w:rFonts w:hint="eastAsia" w:ascii="仿宋_GB2312" w:hAnsi="仿宋_GB2312" w:eastAsia="仿宋_GB2312" w:cs="仿宋_GB2312"/>
          <w:color w:val="333333"/>
          <w:kern w:val="0"/>
          <w:sz w:val="32"/>
          <w:szCs w:val="32"/>
          <w:shd w:val="clear" w:fill="FFFFFF"/>
          <w:lang w:bidi="ar"/>
        </w:rPr>
        <w:t>SCI</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olor w:val="333333"/>
          <w:kern w:val="0"/>
          <w:sz w:val="32"/>
          <w:szCs w:val="32"/>
          <w:shd w:val="clear" w:fill="FFFFFF"/>
          <w:lang w:val="en-US" w:eastAsia="zh-CN" w:bidi="ar"/>
        </w:rPr>
        <w:t>卓越期刊</w:t>
      </w:r>
      <w:r>
        <w:rPr>
          <w:rFonts w:hint="eastAsia" w:ascii="仿宋_GB2312" w:hAnsi="仿宋_GB2312" w:eastAsia="仿宋_GB2312" w:cs="仿宋_GB2312"/>
          <w:color w:val="333333"/>
          <w:kern w:val="0"/>
          <w:sz w:val="32"/>
          <w:szCs w:val="32"/>
          <w:shd w:val="clear" w:fill="FFFFFF"/>
          <w:lang w:eastAsia="zh-CN" w:bidi="ar"/>
        </w:rPr>
        <w:t>）</w:t>
      </w:r>
      <w:r>
        <w:rPr>
          <w:rFonts w:hint="eastAsia" w:ascii="仿宋_GB2312" w:hAnsi="仿宋_GB2312" w:eastAsia="仿宋_GB2312" w:cs="仿宋_GB2312"/>
          <w:caps w:val="0"/>
          <w:color w:val="333333"/>
          <w:spacing w:val="0"/>
          <w:kern w:val="0"/>
          <w:sz w:val="32"/>
          <w:szCs w:val="32"/>
          <w:shd w:val="clear" w:fill="FFFFFF"/>
          <w:lang w:val="en-US" w:eastAsia="zh-CN" w:bidi="ar"/>
        </w:rPr>
        <w:t>文章方可申请学位。</w:t>
      </w:r>
    </w:p>
    <w:p w14:paraId="45CA12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kern w:val="0"/>
          <w:sz w:val="32"/>
          <w:szCs w:val="32"/>
          <w:shd w:val="clear" w:fill="FFFFFF"/>
          <w:lang w:val="en-US" w:eastAsia="zh-CN" w:bidi="ar"/>
        </w:rPr>
      </w:pPr>
      <w:r>
        <w:rPr>
          <w:rFonts w:hint="eastAsia" w:ascii="黑体" w:hAnsi="黑体" w:eastAsia="黑体" w:cs="黑体"/>
          <w:caps w:val="0"/>
          <w:color w:val="333333"/>
          <w:spacing w:val="0"/>
          <w:kern w:val="0"/>
          <w:sz w:val="32"/>
          <w:szCs w:val="32"/>
          <w:shd w:val="clear" w:fill="FFFFFF"/>
          <w:lang w:val="en-US" w:eastAsia="zh-CN" w:bidi="ar"/>
        </w:rPr>
        <w:t>六、学位论文提交要求</w:t>
      </w:r>
    </w:p>
    <w:p w14:paraId="57AD815B">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rPr>
      </w:pPr>
      <w:r>
        <w:rPr>
          <w:rFonts w:hint="eastAsia" w:ascii="仿宋_GB2312" w:hAnsi="仿宋_GB2312" w:eastAsia="仿宋_GB2312" w:cs="仿宋_GB2312"/>
          <w:b w:val="0"/>
          <w:bCs w:val="0"/>
          <w:color w:val="000000"/>
          <w:spacing w:val="30"/>
          <w:kern w:val="0"/>
          <w:sz w:val="32"/>
          <w:szCs w:val="32"/>
          <w:lang w:val="en-US" w:eastAsia="zh-CN"/>
        </w:rPr>
        <w:t>1.学位论文公开事项</w:t>
      </w:r>
    </w:p>
    <w:p w14:paraId="2786A824">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lang w:eastAsia="zh-CN"/>
        </w:rPr>
      </w:pPr>
      <w:r>
        <w:rPr>
          <w:rFonts w:hint="eastAsia" w:ascii="仿宋_GB2312" w:hAnsi="仿宋_GB2312" w:eastAsia="仿宋_GB2312" w:cs="仿宋_GB2312"/>
          <w:b w:val="0"/>
          <w:bCs w:val="0"/>
          <w:color w:val="000000"/>
          <w:spacing w:val="30"/>
          <w:kern w:val="0"/>
          <w:sz w:val="32"/>
          <w:szCs w:val="32"/>
          <w:lang w:val="en-US" w:eastAsia="zh-CN"/>
        </w:rPr>
        <w:t>（1）一般情况下，学位论文为公开论文。</w:t>
      </w:r>
      <w:r>
        <w:rPr>
          <w:rFonts w:hint="eastAsia" w:ascii="仿宋_GB2312" w:hAnsi="仿宋_GB2312" w:eastAsia="仿宋_GB2312" w:cs="仿宋_GB2312"/>
          <w:b w:val="0"/>
          <w:bCs w:val="0"/>
          <w:color w:val="000000"/>
          <w:spacing w:val="30"/>
          <w:kern w:val="0"/>
          <w:sz w:val="32"/>
          <w:szCs w:val="32"/>
        </w:rPr>
        <w:t>学校将向国家图书馆、</w:t>
      </w:r>
      <w:r>
        <w:rPr>
          <w:rFonts w:hint="eastAsia" w:ascii="仿宋_GB2312" w:hAnsi="仿宋_GB2312" w:eastAsia="仿宋_GB2312" w:cs="仿宋_GB2312"/>
          <w:b w:val="0"/>
          <w:bCs w:val="0"/>
          <w:color w:val="000000"/>
          <w:spacing w:val="30"/>
          <w:kern w:val="0"/>
          <w:sz w:val="32"/>
          <w:szCs w:val="32"/>
          <w:lang w:val="en-US" w:eastAsia="zh-CN"/>
        </w:rPr>
        <w:t>教育部学位与研究生教育发展中心，</w:t>
      </w:r>
      <w:r>
        <w:rPr>
          <w:rFonts w:hint="eastAsia" w:ascii="仿宋_GB2312" w:hAnsi="仿宋_GB2312" w:eastAsia="仿宋_GB2312" w:cs="仿宋_GB2312"/>
          <w:b w:val="0"/>
          <w:bCs w:val="0"/>
          <w:color w:val="000000"/>
          <w:spacing w:val="30"/>
          <w:kern w:val="0"/>
          <w:sz w:val="32"/>
          <w:szCs w:val="32"/>
        </w:rPr>
        <w:t>中国学术期刊（光盘版）电子杂志社（CNKI）、中国科学技术信息研究所（万方数据电子出版社）</w:t>
      </w:r>
      <w:r>
        <w:rPr>
          <w:rFonts w:hint="eastAsia" w:ascii="仿宋_GB2312" w:hAnsi="仿宋_GB2312" w:eastAsia="仿宋_GB2312" w:cs="仿宋_GB2312"/>
          <w:b w:val="0"/>
          <w:bCs w:val="0"/>
          <w:color w:val="000000"/>
          <w:spacing w:val="30"/>
          <w:kern w:val="0"/>
          <w:sz w:val="32"/>
          <w:szCs w:val="32"/>
          <w:lang w:val="en-US" w:eastAsia="zh-CN"/>
        </w:rPr>
        <w:t>等机构</w:t>
      </w:r>
      <w:r>
        <w:rPr>
          <w:rFonts w:hint="eastAsia" w:ascii="仿宋_GB2312" w:hAnsi="仿宋_GB2312" w:eastAsia="仿宋_GB2312" w:cs="仿宋_GB2312"/>
          <w:b w:val="0"/>
          <w:bCs w:val="0"/>
          <w:color w:val="000000"/>
          <w:spacing w:val="30"/>
          <w:kern w:val="0"/>
          <w:sz w:val="32"/>
          <w:szCs w:val="32"/>
        </w:rPr>
        <w:t>提交并公开向社会提供网络在线查询和下载等</w:t>
      </w:r>
      <w:r>
        <w:rPr>
          <w:rFonts w:hint="eastAsia" w:ascii="仿宋_GB2312" w:hAnsi="仿宋_GB2312" w:eastAsia="仿宋_GB2312" w:cs="仿宋_GB2312"/>
          <w:b w:val="0"/>
          <w:bCs w:val="0"/>
          <w:color w:val="000000"/>
          <w:spacing w:val="30"/>
          <w:kern w:val="0"/>
          <w:sz w:val="32"/>
          <w:szCs w:val="32"/>
          <w:lang w:val="en-US" w:eastAsia="zh-CN"/>
        </w:rPr>
        <w:t>服务</w:t>
      </w:r>
      <w:r>
        <w:rPr>
          <w:rFonts w:hint="eastAsia" w:ascii="仿宋_GB2312" w:hAnsi="仿宋_GB2312" w:eastAsia="仿宋_GB2312" w:cs="仿宋_GB2312"/>
          <w:b w:val="0"/>
          <w:bCs w:val="0"/>
          <w:color w:val="000000"/>
          <w:spacing w:val="30"/>
          <w:kern w:val="0"/>
          <w:sz w:val="32"/>
          <w:szCs w:val="32"/>
          <w:lang w:eastAsia="zh-CN"/>
        </w:rPr>
        <w:t>。</w:t>
      </w:r>
    </w:p>
    <w:p w14:paraId="2A1F9399">
      <w:pPr>
        <w:widowControl/>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lang w:val="en-US" w:eastAsia="zh-CN"/>
        </w:rPr>
      </w:pPr>
      <w:r>
        <w:rPr>
          <w:rFonts w:hint="eastAsia" w:ascii="仿宋_GB2312" w:hAnsi="仿宋_GB2312" w:eastAsia="仿宋_GB2312" w:cs="仿宋_GB2312"/>
          <w:b w:val="0"/>
          <w:bCs w:val="0"/>
          <w:color w:val="000000"/>
          <w:spacing w:val="30"/>
          <w:kern w:val="0"/>
          <w:sz w:val="32"/>
          <w:szCs w:val="32"/>
          <w:lang w:eastAsia="zh-CN"/>
        </w:rPr>
        <w:t>（</w:t>
      </w:r>
      <w:r>
        <w:rPr>
          <w:rFonts w:hint="eastAsia" w:ascii="仿宋_GB2312" w:hAnsi="仿宋_GB2312" w:eastAsia="仿宋_GB2312" w:cs="仿宋_GB2312"/>
          <w:b w:val="0"/>
          <w:bCs w:val="0"/>
          <w:color w:val="000000"/>
          <w:spacing w:val="30"/>
          <w:kern w:val="0"/>
          <w:sz w:val="32"/>
          <w:szCs w:val="32"/>
          <w:lang w:val="en-US" w:eastAsia="zh-CN"/>
        </w:rPr>
        <w:t>2</w:t>
      </w:r>
      <w:r>
        <w:rPr>
          <w:rFonts w:hint="eastAsia" w:ascii="仿宋_GB2312" w:hAnsi="仿宋_GB2312" w:eastAsia="仿宋_GB2312" w:cs="仿宋_GB2312"/>
          <w:b w:val="0"/>
          <w:bCs w:val="0"/>
          <w:color w:val="000000"/>
          <w:spacing w:val="30"/>
          <w:kern w:val="0"/>
          <w:sz w:val="32"/>
          <w:szCs w:val="32"/>
          <w:lang w:eastAsia="zh-CN"/>
        </w:rPr>
        <w:t>）</w:t>
      </w:r>
      <w:r>
        <w:rPr>
          <w:rFonts w:hint="eastAsia" w:ascii="仿宋_GB2312" w:hAnsi="仿宋_GB2312" w:eastAsia="仿宋_GB2312" w:cs="仿宋_GB2312"/>
          <w:b w:val="0"/>
          <w:bCs w:val="0"/>
          <w:color w:val="000000"/>
          <w:spacing w:val="30"/>
          <w:kern w:val="0"/>
          <w:sz w:val="32"/>
          <w:szCs w:val="32"/>
        </w:rPr>
        <w:t>如有</w:t>
      </w:r>
      <w:r>
        <w:rPr>
          <w:rFonts w:hint="eastAsia" w:ascii="仿宋_GB2312" w:hAnsi="仿宋_GB2312" w:eastAsia="仿宋_GB2312" w:cs="仿宋_GB2312"/>
          <w:b w:val="0"/>
          <w:bCs w:val="0"/>
          <w:color w:val="000000"/>
          <w:spacing w:val="30"/>
          <w:kern w:val="0"/>
          <w:sz w:val="32"/>
          <w:szCs w:val="32"/>
          <w:lang w:eastAsia="zh-CN"/>
        </w:rPr>
        <w:t>涉及国家秘密的教学、科研</w:t>
      </w:r>
      <w:r>
        <w:rPr>
          <w:rFonts w:hint="eastAsia" w:ascii="仿宋_GB2312" w:hAnsi="仿宋_GB2312" w:eastAsia="仿宋_GB2312" w:cs="仿宋_GB2312"/>
          <w:b w:val="0"/>
          <w:bCs w:val="0"/>
          <w:color w:val="000000"/>
          <w:spacing w:val="30"/>
          <w:kern w:val="0"/>
          <w:sz w:val="32"/>
          <w:szCs w:val="32"/>
          <w:lang w:val="en-US" w:eastAsia="zh-CN"/>
        </w:rPr>
        <w:t>项目</w:t>
      </w:r>
      <w:r>
        <w:rPr>
          <w:rFonts w:hint="eastAsia" w:ascii="仿宋_GB2312" w:hAnsi="仿宋_GB2312" w:eastAsia="仿宋_GB2312" w:cs="仿宋_GB2312"/>
          <w:b w:val="0"/>
          <w:bCs w:val="0"/>
          <w:color w:val="000000"/>
          <w:spacing w:val="30"/>
          <w:kern w:val="0"/>
          <w:sz w:val="32"/>
          <w:szCs w:val="32"/>
          <w:lang w:eastAsia="zh-CN"/>
        </w:rPr>
        <w:t>、任务等</w:t>
      </w:r>
      <w:r>
        <w:rPr>
          <w:rFonts w:hint="eastAsia" w:ascii="仿宋_GB2312" w:hAnsi="仿宋_GB2312" w:eastAsia="仿宋_GB2312" w:cs="仿宋_GB2312"/>
          <w:b w:val="0"/>
          <w:bCs w:val="0"/>
          <w:color w:val="000000"/>
          <w:spacing w:val="30"/>
          <w:kern w:val="0"/>
          <w:sz w:val="32"/>
          <w:szCs w:val="32"/>
          <w:lang w:val="en-US" w:eastAsia="zh-CN"/>
        </w:rPr>
        <w:t>工</w:t>
      </w:r>
      <w:r>
        <w:rPr>
          <w:rFonts w:hint="eastAsia" w:ascii="仿宋_GB2312" w:hAnsi="仿宋_GB2312" w:eastAsia="仿宋_GB2312" w:cs="仿宋_GB2312"/>
          <w:b w:val="0"/>
          <w:bCs w:val="0"/>
          <w:color w:val="000000"/>
          <w:spacing w:val="30"/>
          <w:kern w:val="0"/>
          <w:sz w:val="32"/>
          <w:szCs w:val="32"/>
          <w:lang w:eastAsia="zh-CN"/>
        </w:rPr>
        <w:t>作或者在教学、科研过程中接触、知悉、</w:t>
      </w:r>
      <w:r>
        <w:rPr>
          <w:rFonts w:hint="eastAsia" w:ascii="仿宋_GB2312" w:hAnsi="仿宋_GB2312" w:eastAsia="仿宋_GB2312" w:cs="仿宋_GB2312"/>
          <w:b w:val="0"/>
          <w:bCs w:val="0"/>
          <w:color w:val="000000"/>
          <w:spacing w:val="30"/>
          <w:kern w:val="0"/>
          <w:sz w:val="32"/>
          <w:szCs w:val="32"/>
          <w:lang w:val="en-US" w:eastAsia="zh-CN"/>
        </w:rPr>
        <w:t>产生</w:t>
      </w:r>
      <w:r>
        <w:rPr>
          <w:rFonts w:hint="eastAsia" w:ascii="仿宋_GB2312" w:hAnsi="仿宋_GB2312" w:eastAsia="仿宋_GB2312" w:cs="仿宋_GB2312"/>
          <w:b w:val="0"/>
          <w:bCs w:val="0"/>
          <w:color w:val="000000"/>
          <w:spacing w:val="30"/>
          <w:kern w:val="0"/>
          <w:sz w:val="32"/>
          <w:szCs w:val="32"/>
          <w:lang w:eastAsia="zh-CN"/>
        </w:rPr>
        <w:t>和处理较多国家秘密事项的</w:t>
      </w:r>
      <w:r>
        <w:rPr>
          <w:rFonts w:hint="eastAsia" w:ascii="仿宋_GB2312" w:hAnsi="仿宋_GB2312" w:eastAsia="仿宋_GB2312" w:cs="仿宋_GB2312"/>
          <w:b w:val="0"/>
          <w:bCs w:val="0"/>
          <w:color w:val="000000"/>
          <w:spacing w:val="30"/>
          <w:kern w:val="0"/>
          <w:sz w:val="32"/>
          <w:szCs w:val="32"/>
          <w:lang w:val="en-US" w:eastAsia="zh-CN"/>
        </w:rPr>
        <w:t>学位论文</w:t>
      </w:r>
      <w:r>
        <w:rPr>
          <w:rFonts w:hint="eastAsia" w:ascii="仿宋_GB2312" w:hAnsi="仿宋_GB2312" w:eastAsia="仿宋_GB2312" w:cs="仿宋_GB2312"/>
          <w:b w:val="0"/>
          <w:bCs w:val="0"/>
          <w:color w:val="000000"/>
          <w:spacing w:val="30"/>
          <w:kern w:val="0"/>
          <w:sz w:val="32"/>
          <w:szCs w:val="32"/>
          <w:lang w:eastAsia="zh-CN"/>
        </w:rPr>
        <w:t>，</w:t>
      </w:r>
      <w:r>
        <w:rPr>
          <w:rFonts w:hint="eastAsia" w:ascii="仿宋_GB2312" w:hAnsi="仿宋_GB2312" w:eastAsia="仿宋_GB2312" w:cs="仿宋_GB2312"/>
          <w:b w:val="0"/>
          <w:bCs w:val="0"/>
          <w:color w:val="000000"/>
          <w:spacing w:val="30"/>
          <w:kern w:val="0"/>
          <w:sz w:val="32"/>
          <w:szCs w:val="32"/>
          <w:lang w:val="en-US" w:eastAsia="zh-CN"/>
        </w:rPr>
        <w:t>需按照</w:t>
      </w:r>
      <w:r>
        <w:rPr>
          <w:rFonts w:hint="eastAsia" w:ascii="仿宋_GB2312" w:hAnsi="仿宋_GB2312" w:eastAsia="仿宋_GB2312" w:cs="仿宋_GB2312"/>
          <w:b w:val="0"/>
          <w:bCs w:val="0"/>
          <w:color w:val="000000"/>
          <w:spacing w:val="30"/>
          <w:kern w:val="0"/>
          <w:sz w:val="32"/>
          <w:szCs w:val="32"/>
        </w:rPr>
        <w:t>《涉密研究生与涉密学位论文管理办法》</w:t>
      </w:r>
      <w:r>
        <w:rPr>
          <w:rFonts w:hint="eastAsia" w:ascii="仿宋_GB2312" w:hAnsi="仿宋_GB2312" w:eastAsia="仿宋_GB2312" w:cs="仿宋_GB2312"/>
          <w:b w:val="0"/>
          <w:bCs w:val="0"/>
          <w:color w:val="000000"/>
          <w:spacing w:val="30"/>
          <w:kern w:val="0"/>
          <w:sz w:val="32"/>
          <w:szCs w:val="32"/>
          <w:highlight w:val="none"/>
        </w:rPr>
        <w:t>（学位〔2016〕27号</w:t>
      </w:r>
      <w:r>
        <w:rPr>
          <w:rFonts w:hint="eastAsia" w:ascii="仿宋_GB2312" w:hAnsi="仿宋_GB2312" w:eastAsia="仿宋_GB2312" w:cs="仿宋_GB2312"/>
          <w:b w:val="0"/>
          <w:bCs w:val="0"/>
          <w:color w:val="000000"/>
          <w:spacing w:val="30"/>
          <w:kern w:val="0"/>
          <w:sz w:val="32"/>
          <w:szCs w:val="32"/>
          <w:highlight w:val="none"/>
          <w:lang w:eastAsia="zh-CN"/>
        </w:rPr>
        <w:t>，“</w:t>
      </w:r>
      <w:r>
        <w:rPr>
          <w:rFonts w:hint="eastAsia" w:ascii="仿宋_GB2312" w:hAnsi="仿宋_GB2312" w:eastAsia="仿宋_GB2312" w:cs="仿宋_GB2312"/>
          <w:b w:val="0"/>
          <w:bCs w:val="0"/>
          <w:color w:val="000000"/>
          <w:spacing w:val="30"/>
          <w:kern w:val="0"/>
          <w:sz w:val="32"/>
          <w:szCs w:val="32"/>
          <w:highlight w:val="none"/>
          <w:lang w:val="en-US" w:eastAsia="zh-CN"/>
        </w:rPr>
        <w:t>学位论文规范”模块下载）办</w:t>
      </w:r>
      <w:r>
        <w:rPr>
          <w:rFonts w:hint="eastAsia" w:ascii="仿宋_GB2312" w:hAnsi="仿宋_GB2312" w:eastAsia="仿宋_GB2312" w:cs="仿宋_GB2312"/>
          <w:b w:val="0"/>
          <w:bCs w:val="0"/>
          <w:color w:val="000000"/>
          <w:spacing w:val="30"/>
          <w:kern w:val="0"/>
          <w:sz w:val="32"/>
          <w:szCs w:val="32"/>
          <w:lang w:val="en-US" w:eastAsia="zh-CN"/>
        </w:rPr>
        <w:t>理。</w:t>
      </w:r>
    </w:p>
    <w:p w14:paraId="2526B466">
      <w:pPr>
        <w:widowControl/>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rPr>
      </w:pPr>
      <w:r>
        <w:rPr>
          <w:rFonts w:hint="eastAsia" w:ascii="仿宋_GB2312" w:hAnsi="仿宋_GB2312" w:eastAsia="仿宋_GB2312" w:cs="仿宋_GB2312"/>
          <w:b w:val="0"/>
          <w:bCs w:val="0"/>
          <w:color w:val="000000"/>
          <w:spacing w:val="30"/>
          <w:kern w:val="0"/>
          <w:sz w:val="32"/>
          <w:szCs w:val="32"/>
          <w:lang w:val="en-US" w:eastAsia="zh-CN"/>
        </w:rPr>
        <w:t>（3）若学位论文涉及</w:t>
      </w:r>
      <w:r>
        <w:rPr>
          <w:rFonts w:hint="eastAsia" w:ascii="仿宋_GB2312" w:hAnsi="仿宋_GB2312" w:eastAsia="仿宋_GB2312" w:cs="仿宋_GB2312"/>
          <w:b w:val="0"/>
          <w:bCs w:val="0"/>
          <w:color w:val="000000"/>
          <w:spacing w:val="30"/>
          <w:kern w:val="0"/>
          <w:sz w:val="32"/>
          <w:szCs w:val="32"/>
        </w:rPr>
        <w:t>专利申请或科研机密等，</w:t>
      </w:r>
      <w:r>
        <w:rPr>
          <w:rFonts w:hint="eastAsia" w:ascii="仿宋_GB2312" w:hAnsi="仿宋_GB2312" w:eastAsia="仿宋_GB2312" w:cs="仿宋_GB2312"/>
          <w:b w:val="0"/>
          <w:bCs w:val="0"/>
          <w:color w:val="000000"/>
          <w:spacing w:val="30"/>
          <w:kern w:val="0"/>
          <w:sz w:val="32"/>
          <w:szCs w:val="32"/>
          <w:lang w:val="en-US" w:eastAsia="zh-CN"/>
        </w:rPr>
        <w:t>需在系统填报延期公开申请，每次申请不超过2年，但仍需参加学位论文盲审，接受教育行政部门</w:t>
      </w:r>
      <w:r>
        <w:rPr>
          <w:rFonts w:hint="eastAsia" w:ascii="仿宋_GB2312" w:hAnsi="仿宋_GB2312" w:eastAsia="仿宋_GB2312" w:cs="仿宋_GB2312"/>
          <w:b w:val="0"/>
          <w:bCs w:val="0"/>
          <w:color w:val="000000"/>
          <w:spacing w:val="30"/>
          <w:kern w:val="0"/>
          <w:sz w:val="32"/>
          <w:szCs w:val="32"/>
        </w:rPr>
        <w:t>学位论文质量抽检。</w:t>
      </w:r>
    </w:p>
    <w:p w14:paraId="01809BEF">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rPr>
      </w:pPr>
      <w:r>
        <w:rPr>
          <w:rFonts w:hint="eastAsia" w:ascii="仿宋_GB2312" w:hAnsi="仿宋_GB2312" w:eastAsia="仿宋_GB2312" w:cs="仿宋_GB2312"/>
          <w:b w:val="0"/>
          <w:bCs w:val="0"/>
          <w:color w:val="000000"/>
          <w:spacing w:val="30"/>
          <w:kern w:val="0"/>
          <w:sz w:val="32"/>
          <w:szCs w:val="32"/>
          <w:lang w:eastAsia="zh-CN"/>
        </w:rPr>
        <w:t>（</w:t>
      </w:r>
      <w:r>
        <w:rPr>
          <w:rFonts w:hint="eastAsia" w:ascii="仿宋_GB2312" w:hAnsi="仿宋_GB2312" w:eastAsia="仿宋_GB2312" w:cs="仿宋_GB2312"/>
          <w:b w:val="0"/>
          <w:bCs w:val="0"/>
          <w:color w:val="000000"/>
          <w:spacing w:val="30"/>
          <w:kern w:val="0"/>
          <w:sz w:val="32"/>
          <w:szCs w:val="32"/>
          <w:lang w:val="en-US" w:eastAsia="zh-CN"/>
        </w:rPr>
        <w:t>4</w:t>
      </w:r>
      <w:r>
        <w:rPr>
          <w:rFonts w:hint="eastAsia" w:ascii="仿宋_GB2312" w:hAnsi="仿宋_GB2312" w:eastAsia="仿宋_GB2312" w:cs="仿宋_GB2312"/>
          <w:b w:val="0"/>
          <w:bCs w:val="0"/>
          <w:color w:val="000000"/>
          <w:spacing w:val="30"/>
          <w:kern w:val="0"/>
          <w:sz w:val="32"/>
          <w:szCs w:val="32"/>
          <w:lang w:eastAsia="zh-CN"/>
        </w:rPr>
        <w:t>）</w:t>
      </w:r>
      <w:r>
        <w:rPr>
          <w:rFonts w:hint="eastAsia" w:ascii="仿宋_GB2312" w:hAnsi="仿宋_GB2312" w:eastAsia="仿宋_GB2312" w:cs="仿宋_GB2312"/>
          <w:b w:val="0"/>
          <w:bCs w:val="0"/>
          <w:color w:val="000000"/>
          <w:spacing w:val="30"/>
          <w:kern w:val="0"/>
          <w:sz w:val="32"/>
          <w:szCs w:val="32"/>
        </w:rPr>
        <w:t>由于评优秀论文要将论文外审，申请</w:t>
      </w:r>
      <w:r>
        <w:rPr>
          <w:rFonts w:hint="eastAsia" w:ascii="仿宋_GB2312" w:hAnsi="仿宋_GB2312" w:eastAsia="仿宋_GB2312" w:cs="仿宋_GB2312"/>
          <w:b w:val="0"/>
          <w:bCs w:val="0"/>
          <w:color w:val="000000"/>
          <w:spacing w:val="30"/>
          <w:kern w:val="0"/>
          <w:sz w:val="32"/>
          <w:szCs w:val="32"/>
          <w:lang w:val="en-US" w:eastAsia="zh-CN"/>
        </w:rPr>
        <w:t>延期公开</w:t>
      </w:r>
      <w:r>
        <w:rPr>
          <w:rFonts w:hint="eastAsia" w:ascii="仿宋_GB2312" w:hAnsi="仿宋_GB2312" w:eastAsia="仿宋_GB2312" w:cs="仿宋_GB2312"/>
          <w:b w:val="0"/>
          <w:bCs w:val="0"/>
          <w:color w:val="000000"/>
          <w:spacing w:val="30"/>
          <w:kern w:val="0"/>
          <w:sz w:val="32"/>
          <w:szCs w:val="32"/>
        </w:rPr>
        <w:t>的学位论文，视为放弃参评一切优秀学位论文的资格。</w:t>
      </w:r>
    </w:p>
    <w:p w14:paraId="18C47276">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lang w:val="en-US" w:eastAsia="zh-CN"/>
        </w:rPr>
      </w:pPr>
      <w:r>
        <w:rPr>
          <w:rFonts w:hint="eastAsia" w:ascii="仿宋_GB2312" w:hAnsi="仿宋_GB2312" w:eastAsia="仿宋_GB2312" w:cs="仿宋_GB2312"/>
          <w:b w:val="0"/>
          <w:bCs w:val="0"/>
          <w:color w:val="000000"/>
          <w:spacing w:val="30"/>
          <w:kern w:val="0"/>
          <w:sz w:val="32"/>
          <w:szCs w:val="32"/>
          <w:lang w:val="en-US" w:eastAsia="zh-CN"/>
        </w:rPr>
        <w:t>2.学位论文提交</w:t>
      </w:r>
    </w:p>
    <w:p w14:paraId="5E8BF81E">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rPr>
      </w:pPr>
      <w:r>
        <w:rPr>
          <w:rFonts w:hint="eastAsia" w:ascii="仿宋_GB2312" w:hAnsi="仿宋_GB2312" w:eastAsia="仿宋_GB2312" w:cs="仿宋_GB2312"/>
          <w:b w:val="0"/>
          <w:bCs w:val="0"/>
          <w:color w:val="000000"/>
          <w:spacing w:val="30"/>
          <w:kern w:val="0"/>
          <w:sz w:val="32"/>
          <w:szCs w:val="32"/>
          <w:lang w:val="en-US" w:eastAsia="zh-CN"/>
        </w:rPr>
        <w:t>学位论文纸质版随毕业与学位申请材料一同提交</w:t>
      </w:r>
      <w:r>
        <w:rPr>
          <w:rFonts w:hint="eastAsia" w:ascii="仿宋_GB2312" w:hAnsi="仿宋_GB2312" w:eastAsia="仿宋_GB2312" w:cs="仿宋_GB2312"/>
          <w:b w:val="0"/>
          <w:bCs w:val="0"/>
          <w:color w:val="000000"/>
          <w:spacing w:val="30"/>
          <w:kern w:val="0"/>
          <w:sz w:val="32"/>
          <w:szCs w:val="32"/>
        </w:rPr>
        <w:t>，</w:t>
      </w:r>
      <w:r>
        <w:rPr>
          <w:rFonts w:hint="eastAsia" w:ascii="仿宋_GB2312" w:hAnsi="仿宋_GB2312" w:eastAsia="仿宋_GB2312" w:cs="仿宋_GB2312"/>
          <w:b w:val="0"/>
          <w:bCs w:val="0"/>
          <w:color w:val="000000"/>
          <w:spacing w:val="30"/>
          <w:kern w:val="0"/>
          <w:sz w:val="32"/>
          <w:szCs w:val="32"/>
          <w:lang w:val="en-US" w:eastAsia="zh-CN"/>
        </w:rPr>
        <w:t>需</w:t>
      </w:r>
      <w:r>
        <w:rPr>
          <w:rFonts w:hint="eastAsia" w:ascii="仿宋_GB2312" w:hAnsi="仿宋_GB2312" w:eastAsia="仿宋_GB2312" w:cs="仿宋_GB2312"/>
          <w:caps w:val="0"/>
          <w:color w:val="000000"/>
          <w:spacing w:val="30"/>
          <w:kern w:val="0"/>
          <w:sz w:val="32"/>
          <w:szCs w:val="32"/>
          <w:shd w:val="clear"/>
          <w:lang w:val="en-US" w:eastAsia="zh-CN" w:bidi="ar"/>
        </w:rPr>
        <w:t>双面打印，封面统一用麻纱纹纸胶印（博士用淡红色，学术学位硕士用淡黄色，专业学位硕士用淡蓝色），胶装成册</w:t>
      </w:r>
      <w:r>
        <w:rPr>
          <w:rFonts w:hint="eastAsia" w:ascii="仿宋_GB2312" w:hAnsi="仿宋_GB2312" w:eastAsia="仿宋_GB2312" w:cs="仿宋_GB2312"/>
          <w:b w:val="0"/>
          <w:bCs w:val="0"/>
          <w:color w:val="000000"/>
          <w:spacing w:val="30"/>
          <w:kern w:val="0"/>
          <w:sz w:val="32"/>
          <w:szCs w:val="32"/>
        </w:rPr>
        <w:t>。</w:t>
      </w:r>
      <w:r>
        <w:rPr>
          <w:rFonts w:hint="eastAsia" w:ascii="仿宋_GB2312" w:hAnsi="仿宋_GB2312" w:eastAsia="仿宋_GB2312" w:cs="仿宋_GB2312"/>
          <w:b w:val="0"/>
          <w:bCs w:val="0"/>
          <w:color w:val="000000"/>
          <w:spacing w:val="30"/>
          <w:kern w:val="0"/>
          <w:sz w:val="32"/>
          <w:szCs w:val="32"/>
          <w:lang w:val="en-US" w:eastAsia="zh-CN"/>
        </w:rPr>
        <w:t>请</w:t>
      </w:r>
      <w:r>
        <w:rPr>
          <w:rFonts w:hint="eastAsia" w:ascii="仿宋_GB2312" w:hAnsi="仿宋_GB2312" w:eastAsia="仿宋_GB2312" w:cs="仿宋_GB2312"/>
          <w:b w:val="0"/>
          <w:bCs w:val="0"/>
          <w:color w:val="000000"/>
          <w:spacing w:val="30"/>
          <w:kern w:val="0"/>
          <w:sz w:val="32"/>
          <w:szCs w:val="32"/>
        </w:rPr>
        <w:t>注意认真阅读《学位论文原创性声明和版权使用授权书》并确认签名</w:t>
      </w:r>
      <w:r>
        <w:rPr>
          <w:rFonts w:hint="eastAsia" w:ascii="仿宋_GB2312" w:hAnsi="仿宋_GB2312" w:eastAsia="仿宋_GB2312" w:cs="仿宋_GB2312"/>
          <w:b w:val="0"/>
          <w:bCs w:val="0"/>
          <w:color w:val="000000"/>
          <w:spacing w:val="30"/>
          <w:kern w:val="0"/>
          <w:sz w:val="32"/>
          <w:szCs w:val="32"/>
          <w:lang w:eastAsia="zh-CN"/>
        </w:rPr>
        <w:t>。</w:t>
      </w:r>
    </w:p>
    <w:p w14:paraId="60B9DBE6">
      <w:pPr>
        <w:widowControl/>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lang w:eastAsia="zh-CN"/>
        </w:rPr>
      </w:pPr>
      <w:r>
        <w:rPr>
          <w:rFonts w:hint="eastAsia" w:ascii="仿宋_GB2312" w:hAnsi="仿宋_GB2312" w:eastAsia="仿宋_GB2312" w:cs="仿宋_GB2312"/>
          <w:b w:val="0"/>
          <w:bCs w:val="0"/>
          <w:color w:val="000000"/>
          <w:spacing w:val="30"/>
          <w:kern w:val="0"/>
          <w:sz w:val="32"/>
          <w:szCs w:val="32"/>
        </w:rPr>
        <w:t>学位论文电子版</w:t>
      </w:r>
      <w:r>
        <w:rPr>
          <w:rFonts w:hint="eastAsia" w:ascii="仿宋_GB2312" w:hAnsi="仿宋_GB2312" w:eastAsia="仿宋_GB2312" w:cs="仿宋_GB2312"/>
          <w:b w:val="0"/>
          <w:bCs w:val="0"/>
          <w:color w:val="000000"/>
          <w:spacing w:val="30"/>
          <w:kern w:val="0"/>
          <w:sz w:val="32"/>
          <w:szCs w:val="32"/>
          <w:lang w:val="en-US" w:eastAsia="zh-CN"/>
        </w:rPr>
        <w:t>终稿</w:t>
      </w:r>
      <w:r>
        <w:rPr>
          <w:rFonts w:hint="eastAsia" w:ascii="仿宋_GB2312" w:hAnsi="仿宋_GB2312" w:eastAsia="仿宋_GB2312" w:cs="仿宋_GB2312"/>
          <w:b w:val="0"/>
          <w:bCs w:val="0"/>
          <w:color w:val="000000"/>
          <w:spacing w:val="30"/>
          <w:kern w:val="0"/>
          <w:sz w:val="32"/>
          <w:szCs w:val="32"/>
        </w:rPr>
        <w:t>，</w:t>
      </w:r>
      <w:r>
        <w:rPr>
          <w:rFonts w:hint="eastAsia" w:ascii="仿宋_GB2312" w:hAnsi="仿宋_GB2312" w:eastAsia="仿宋_GB2312" w:cs="仿宋_GB2312"/>
          <w:b w:val="0"/>
          <w:bCs w:val="0"/>
          <w:color w:val="000000"/>
          <w:spacing w:val="30"/>
          <w:kern w:val="0"/>
          <w:sz w:val="32"/>
          <w:szCs w:val="32"/>
          <w:lang w:val="en-US" w:eastAsia="zh-CN"/>
        </w:rPr>
        <w:t>通过系统提交，需含</w:t>
      </w:r>
      <w:r>
        <w:rPr>
          <w:rFonts w:hint="eastAsia" w:ascii="仿宋_GB2312" w:hAnsi="仿宋_GB2312" w:eastAsia="仿宋_GB2312" w:cs="仿宋_GB2312"/>
          <w:b w:val="0"/>
          <w:bCs w:val="0"/>
          <w:color w:val="000000"/>
          <w:spacing w:val="30"/>
          <w:kern w:val="0"/>
          <w:sz w:val="32"/>
          <w:szCs w:val="32"/>
        </w:rPr>
        <w:t>《学位论文原创性声明和版权使用授权书》</w:t>
      </w:r>
      <w:r>
        <w:rPr>
          <w:rFonts w:hint="eastAsia" w:ascii="仿宋_GB2312" w:hAnsi="仿宋_GB2312" w:eastAsia="仿宋_GB2312" w:cs="仿宋_GB2312"/>
          <w:b w:val="0"/>
          <w:bCs w:val="0"/>
          <w:color w:val="000000"/>
          <w:spacing w:val="30"/>
          <w:kern w:val="0"/>
          <w:sz w:val="32"/>
          <w:szCs w:val="32"/>
          <w:lang w:val="en-US" w:eastAsia="zh-CN"/>
        </w:rPr>
        <w:t>完整签名</w:t>
      </w:r>
      <w:r>
        <w:rPr>
          <w:rFonts w:hint="eastAsia" w:ascii="仿宋_GB2312" w:hAnsi="仿宋_GB2312" w:eastAsia="仿宋_GB2312" w:cs="仿宋_GB2312"/>
          <w:b w:val="0"/>
          <w:bCs w:val="0"/>
          <w:color w:val="000000"/>
          <w:spacing w:val="30"/>
          <w:kern w:val="0"/>
          <w:sz w:val="32"/>
          <w:szCs w:val="32"/>
        </w:rPr>
        <w:t>扫描</w:t>
      </w:r>
      <w:r>
        <w:rPr>
          <w:rFonts w:hint="eastAsia" w:ascii="仿宋_GB2312" w:hAnsi="仿宋_GB2312" w:eastAsia="仿宋_GB2312" w:cs="仿宋_GB2312"/>
          <w:b w:val="0"/>
          <w:bCs w:val="0"/>
          <w:color w:val="000000"/>
          <w:spacing w:val="30"/>
          <w:kern w:val="0"/>
          <w:sz w:val="32"/>
          <w:szCs w:val="32"/>
          <w:lang w:val="en-US" w:eastAsia="zh-CN"/>
        </w:rPr>
        <w:t>页</w:t>
      </w:r>
      <w:r>
        <w:rPr>
          <w:rFonts w:hint="eastAsia" w:ascii="仿宋_GB2312" w:hAnsi="仿宋_GB2312" w:eastAsia="仿宋_GB2312" w:cs="仿宋_GB2312"/>
          <w:b w:val="0"/>
          <w:bCs w:val="0"/>
          <w:color w:val="000000"/>
          <w:spacing w:val="30"/>
          <w:kern w:val="0"/>
          <w:sz w:val="32"/>
          <w:szCs w:val="32"/>
          <w:lang w:eastAsia="zh-CN"/>
        </w:rPr>
        <w:t>。</w:t>
      </w:r>
    </w:p>
    <w:p w14:paraId="3CB5B294">
      <w:pPr>
        <w:keepNext w:val="0"/>
        <w:keepLines w:val="0"/>
        <w:pageBreakBefore w:val="0"/>
        <w:kinsoku/>
        <w:wordWrap/>
        <w:overflowPunct/>
        <w:topLinePunct w:val="0"/>
        <w:autoSpaceDE/>
        <w:autoSpaceDN/>
        <w:bidi w:val="0"/>
        <w:adjustRightInd/>
        <w:snapToGrid w:val="0"/>
        <w:spacing w:beforeAutospacing="0" w:afterAutospacing="0" w:line="50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DMxNjYxNzQ2NDJmOTI3YjVhNzZiZDQwNjFmMTYifQ=="/>
    <w:docVar w:name="KSO_WPS_MARK_KEY" w:val="61b3818c-c9a7-489c-b978-13289a3e70aa"/>
  </w:docVars>
  <w:rsids>
    <w:rsidRoot w:val="00000000"/>
    <w:rsid w:val="0C9812EB"/>
    <w:rsid w:val="0D3E17F3"/>
    <w:rsid w:val="14B369ED"/>
    <w:rsid w:val="1CF8011C"/>
    <w:rsid w:val="1F3029F7"/>
    <w:rsid w:val="283F6E9C"/>
    <w:rsid w:val="31FF4031"/>
    <w:rsid w:val="39B2279D"/>
    <w:rsid w:val="3A4531DD"/>
    <w:rsid w:val="3EB1605A"/>
    <w:rsid w:val="3EFD27D7"/>
    <w:rsid w:val="3FF64F5F"/>
    <w:rsid w:val="41471454"/>
    <w:rsid w:val="446D6EEC"/>
    <w:rsid w:val="4698326B"/>
    <w:rsid w:val="4BB547C1"/>
    <w:rsid w:val="4BF35FCC"/>
    <w:rsid w:val="4D283945"/>
    <w:rsid w:val="4F1D0F6E"/>
    <w:rsid w:val="53CF190D"/>
    <w:rsid w:val="545B1A99"/>
    <w:rsid w:val="55210C98"/>
    <w:rsid w:val="553D797E"/>
    <w:rsid w:val="557AC54B"/>
    <w:rsid w:val="57931342"/>
    <w:rsid w:val="5D0633B8"/>
    <w:rsid w:val="5F8B3E73"/>
    <w:rsid w:val="6E0500AB"/>
    <w:rsid w:val="6F2914EE"/>
    <w:rsid w:val="714F0BE9"/>
    <w:rsid w:val="74965241"/>
    <w:rsid w:val="7BFD574C"/>
    <w:rsid w:val="BFFDE5A4"/>
    <w:rsid w:val="EF9F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eastAsia="幼圆"/>
      <w:b/>
      <w:spacing w:val="48"/>
      <w:sz w:val="32"/>
    </w:rPr>
  </w:style>
  <w:style w:type="character" w:customStyle="1" w:styleId="6">
    <w:name w:val="16"/>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2576</Words>
  <Characters>2630</Characters>
  <Lines>0</Lines>
  <Paragraphs>0</Paragraphs>
  <TotalTime>2</TotalTime>
  <ScaleCrop>false</ScaleCrop>
  <LinksUpToDate>false</LinksUpToDate>
  <CharactersWithSpaces>2630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2021-05-12T18:32:00Z</dcterms:created>
  <dc:creator>Administrator</dc:creator>
  <cp:lastModifiedBy>亭亭子</cp:lastModifiedBy>
  <cp:lastPrinted>2021-05-12T18:35:00Z</cp:lastPrinted>
  <dcterms:modified xsi:type="dcterms:W3CDTF">2026-01-29T17:11:23Z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B563BB60FCDC4767A89EDF6F19A51A34_13</vt:lpwstr>
  </property>
  <property fmtid="{D5CDD505-2E9C-101B-9397-08002B2CF9AE}" pid="4" name="KSOTemplateDocerSaveRecord">
    <vt:lpwstr>eyJoZGlkIjoiMjlhOTRhMmNkNDZhYjM5MTVhNTNkNDA2MjQwYThmMjQiLCJ1c2VySWQiOiIyNzI4Njk2NTAifQ==</vt:lpwstr>
  </property>
</Properties>
</file>