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D8369">
      <w:pPr>
        <w:spacing w:line="440" w:lineRule="exact"/>
        <w:jc w:val="left"/>
        <w:rPr>
          <w:rFonts w:ascii="宋体" w:hAnsi="宋体"/>
          <w:color w:val="555555"/>
          <w:sz w:val="32"/>
          <w:szCs w:val="32"/>
          <w:shd w:val="clear" w:color="auto" w:fill="FFFFFF"/>
        </w:rPr>
      </w:pPr>
      <w:r>
        <w:rPr>
          <w:rFonts w:hint="eastAsia" w:ascii="宋体" w:hAnsi="宋体"/>
          <w:color w:val="555555"/>
          <w:sz w:val="32"/>
          <w:szCs w:val="32"/>
          <w:shd w:val="clear" w:color="auto" w:fill="FFFFFF"/>
        </w:rPr>
        <w:t>附件一：</w:t>
      </w:r>
    </w:p>
    <w:p w14:paraId="319A2EBD">
      <w:pPr>
        <w:spacing w:line="440" w:lineRule="exact"/>
        <w:jc w:val="left"/>
        <w:rPr>
          <w:rFonts w:ascii="宋体" w:hAnsi="宋体"/>
          <w:color w:val="555555"/>
          <w:sz w:val="32"/>
          <w:szCs w:val="32"/>
          <w:shd w:val="clear" w:color="auto" w:fill="FFFFFF"/>
        </w:rPr>
      </w:pPr>
    </w:p>
    <w:p w14:paraId="15247B0D">
      <w:pPr>
        <w:spacing w:line="440" w:lineRule="exact"/>
        <w:jc w:val="left"/>
        <w:rPr>
          <w:rFonts w:ascii="宋体" w:hAnsi="宋体"/>
          <w:color w:val="555555"/>
          <w:sz w:val="32"/>
          <w:szCs w:val="32"/>
          <w:shd w:val="clear" w:color="auto" w:fill="FFFFFF"/>
        </w:rPr>
      </w:pPr>
      <w:r>
        <w:rPr>
          <w:rFonts w:hint="eastAsia" w:ascii="宋体" w:hAnsi="宋体"/>
          <w:color w:val="555555"/>
          <w:sz w:val="32"/>
          <w:szCs w:val="32"/>
          <w:shd w:val="clear" w:color="auto" w:fill="FFFFFF"/>
        </w:rPr>
        <w:t>“医药代表接待管理系统”二维码：</w:t>
      </w:r>
    </w:p>
    <w:p w14:paraId="24A479DE">
      <w:pPr>
        <w:rPr>
          <w:rFonts w:eastAsia="Noto Sans SC"/>
        </w:rPr>
      </w:pPr>
      <w:r>
        <w:rPr>
          <w:rFonts w:hint="eastAsia" w:eastAsia="Noto Sans SC"/>
        </w:rPr>
        <w:drawing>
          <wp:inline distT="0" distB="0" distL="114300" distR="114300">
            <wp:extent cx="5266690" cy="5998210"/>
            <wp:effectExtent l="0" t="0" r="10160" b="2540"/>
            <wp:docPr id="1" name="图片 1" descr="医药代表登记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医药代表登记表"/>
                    <pic:cNvPicPr>
                      <a:picLocks noChangeAspect="1"/>
                    </pic:cNvPicPr>
                  </pic:nvPicPr>
                  <pic:blipFill>
                    <a:blip r:embed="rId4"/>
                    <a:stretch>
                      <a:fillRect/>
                    </a:stretch>
                  </pic:blipFill>
                  <pic:spPr>
                    <a:xfrm>
                      <a:off x="0" y="0"/>
                      <a:ext cx="5266690" cy="5998210"/>
                    </a:xfrm>
                    <a:prstGeom prst="rect">
                      <a:avLst/>
                    </a:prstGeom>
                  </pic:spPr>
                </pic:pic>
              </a:graphicData>
            </a:graphic>
          </wp:inline>
        </w:drawing>
      </w:r>
    </w:p>
    <w:p w14:paraId="25E268BA">
      <w:pPr>
        <w:pStyle w:val="5"/>
        <w:widowControl/>
        <w:spacing w:beforeAutospacing="0" w:afterAutospacing="0"/>
        <w:rPr>
          <w:rFonts w:ascii="Noto Sans SC" w:hAnsi="Noto Sans SC" w:eastAsia="Noto Sans SC" w:cs="Noto Sans SC"/>
          <w:color w:val="000000"/>
          <w:sz w:val="27"/>
          <w:szCs w:val="27"/>
        </w:rPr>
      </w:pPr>
    </w:p>
    <w:p w14:paraId="74C06F88">
      <w:pPr>
        <w:pStyle w:val="5"/>
        <w:widowControl/>
        <w:spacing w:beforeAutospacing="0" w:afterAutospacing="0"/>
        <w:rPr>
          <w:rFonts w:ascii="Noto Sans SC" w:hAnsi="Noto Sans SC" w:eastAsia="Noto Sans SC" w:cs="Noto Sans SC"/>
          <w:color w:val="000000"/>
          <w:sz w:val="27"/>
          <w:szCs w:val="27"/>
        </w:rPr>
      </w:pPr>
    </w:p>
    <w:p w14:paraId="74B65BC9">
      <w:pPr>
        <w:pStyle w:val="5"/>
        <w:widowControl/>
        <w:spacing w:beforeAutospacing="0" w:afterAutospacing="0"/>
        <w:rPr>
          <w:rFonts w:ascii="Noto Sans SC" w:hAnsi="Noto Sans SC" w:eastAsia="Noto Sans SC" w:cs="Noto Sans SC"/>
          <w:color w:val="000000"/>
          <w:sz w:val="27"/>
          <w:szCs w:val="27"/>
        </w:rPr>
      </w:pPr>
    </w:p>
    <w:p w14:paraId="64309B98">
      <w:pPr>
        <w:pStyle w:val="5"/>
        <w:widowControl/>
        <w:spacing w:beforeAutospacing="0" w:afterAutospacing="0"/>
        <w:rPr>
          <w:rFonts w:ascii="Noto Sans SC" w:hAnsi="Noto Sans SC" w:eastAsia="Noto Sans SC" w:cs="Noto Sans SC"/>
          <w:color w:val="000000"/>
          <w:sz w:val="27"/>
          <w:szCs w:val="27"/>
        </w:rPr>
      </w:pPr>
    </w:p>
    <w:p w14:paraId="2C520BC0">
      <w:pPr>
        <w:pStyle w:val="5"/>
        <w:widowControl/>
        <w:spacing w:beforeAutospacing="0" w:afterAutospacing="0"/>
        <w:rPr>
          <w:rFonts w:ascii="Noto Sans SC" w:hAnsi="Noto Sans SC" w:eastAsia="Noto Sans SC" w:cs="Noto Sans SC"/>
          <w:color w:val="000000"/>
          <w:sz w:val="27"/>
          <w:szCs w:val="27"/>
        </w:rPr>
      </w:pPr>
    </w:p>
    <w:p w14:paraId="023BB28A">
      <w:pPr>
        <w:spacing w:line="360" w:lineRule="auto"/>
        <w:rPr>
          <w:rFonts w:ascii="宋体" w:hAnsi="宋体" w:eastAsia="宋体"/>
          <w:color w:val="000000"/>
          <w:sz w:val="24"/>
          <w:szCs w:val="24"/>
        </w:rPr>
      </w:pPr>
    </w:p>
    <w:p w14:paraId="6C2E23B1">
      <w:pPr>
        <w:spacing w:line="360" w:lineRule="auto"/>
        <w:rPr>
          <w:rFonts w:ascii="宋体" w:hAnsi="宋体" w:eastAsia="宋体"/>
          <w:color w:val="000000"/>
          <w:sz w:val="24"/>
          <w:szCs w:val="24"/>
        </w:rPr>
      </w:pPr>
      <w:r>
        <w:rPr>
          <w:rFonts w:hint="eastAsia" w:ascii="宋体" w:hAnsi="宋体" w:eastAsia="宋体"/>
          <w:color w:val="000000"/>
          <w:sz w:val="24"/>
          <w:szCs w:val="24"/>
        </w:rPr>
        <w:t>附件二：</w:t>
      </w:r>
    </w:p>
    <w:p w14:paraId="29365C62">
      <w:pPr>
        <w:pStyle w:val="5"/>
        <w:widowControl/>
        <w:spacing w:beforeAutospacing="0" w:afterAutospacing="0" w:line="360" w:lineRule="auto"/>
        <w:rPr>
          <w:rFonts w:ascii="宋体" w:hAnsi="宋体" w:eastAsia="宋体" w:cs="宋体"/>
          <w:color w:val="000000"/>
          <w:szCs w:val="24"/>
        </w:rPr>
      </w:pPr>
      <w:r>
        <w:rPr>
          <w:rFonts w:hint="eastAsia" w:ascii="宋体" w:hAnsi="宋体" w:eastAsia="宋体" w:cs="宋体"/>
          <w:color w:val="000000"/>
          <w:szCs w:val="24"/>
        </w:rPr>
        <w:t>福建医科大学附属第一医院：</w:t>
      </w:r>
    </w:p>
    <w:p w14:paraId="58F5EDAF">
      <w:pPr>
        <w:pStyle w:val="5"/>
        <w:widowControl/>
        <w:spacing w:beforeAutospacing="0" w:afterAutospacing="0" w:line="360" w:lineRule="auto"/>
        <w:rPr>
          <w:rFonts w:ascii="宋体" w:hAnsi="宋体" w:eastAsia="宋体" w:cs="宋体"/>
          <w:b w:val="0"/>
          <w:bCs w:val="0"/>
          <w:color w:val="000000"/>
          <w:szCs w:val="24"/>
        </w:rPr>
      </w:pPr>
      <w:r>
        <w:rPr>
          <w:rFonts w:hint="eastAsia" w:ascii="宋体" w:hAnsi="宋体" w:eastAsia="宋体" w:cs="宋体"/>
          <w:b w:val="0"/>
          <w:bCs w:val="0"/>
          <w:color w:val="000000"/>
          <w:szCs w:val="24"/>
        </w:rPr>
        <w:t>本公司自愿参与贵院</w:t>
      </w:r>
      <w:r>
        <w:rPr>
          <w:rFonts w:hint="eastAsia" w:ascii="宋体" w:hAnsi="宋体" w:eastAsia="宋体" w:cs="宋体"/>
          <w:b w:val="0"/>
          <w:bCs w:val="0"/>
          <w:color w:val="000000"/>
          <w:szCs w:val="24"/>
          <w:u w:val="single"/>
        </w:rPr>
        <w:t xml:space="preserve">                                     </w:t>
      </w:r>
      <w:r>
        <w:rPr>
          <w:rFonts w:hint="eastAsia" w:ascii="宋体" w:hAnsi="宋体" w:eastAsia="宋体" w:cs="宋体"/>
          <w:b w:val="0"/>
          <w:bCs w:val="0"/>
          <w:color w:val="000000"/>
          <w:szCs w:val="24"/>
        </w:rPr>
        <w:t>项目介绍论证，在此郑重承诺本公司</w:t>
      </w:r>
      <w:r>
        <w:rPr>
          <w:rFonts w:hint="eastAsia" w:ascii="宋体" w:hAnsi="宋体" w:eastAsia="宋体" w:cs="宋体"/>
          <w:b w:val="0"/>
          <w:bCs w:val="0"/>
          <w:color w:val="000000"/>
          <w:szCs w:val="24"/>
          <w:lang w:eastAsia="zh-Hans"/>
        </w:rPr>
        <w:t>持有合法的企业营业执照</w:t>
      </w:r>
      <w:r>
        <w:rPr>
          <w:rFonts w:hint="eastAsia" w:ascii="宋体" w:hAnsi="宋体" w:eastAsia="宋体" w:cs="宋体"/>
          <w:b w:val="0"/>
          <w:bCs w:val="0"/>
          <w:color w:val="000000"/>
          <w:szCs w:val="24"/>
        </w:rPr>
        <w:t>，及以下相关材料内容真实、合法、有效。</w:t>
      </w:r>
    </w:p>
    <w:p w14:paraId="6A158892">
      <w:pPr>
        <w:numPr>
          <w:ilvl w:val="0"/>
          <w:numId w:val="1"/>
        </w:numPr>
        <w:spacing w:line="360" w:lineRule="auto"/>
        <w:rPr>
          <w:rFonts w:ascii="宋体" w:hAnsi="宋体" w:eastAsia="宋体"/>
          <w:b w:val="0"/>
          <w:bCs w:val="0"/>
          <w:color w:val="000000"/>
          <w:kern w:val="0"/>
          <w:sz w:val="24"/>
          <w:szCs w:val="24"/>
          <w:lang w:bidi="ar"/>
        </w:rPr>
      </w:pPr>
      <w:r>
        <w:rPr>
          <w:rFonts w:hint="eastAsia" w:ascii="宋体" w:hAnsi="宋体" w:eastAsia="宋体"/>
          <w:b w:val="0"/>
          <w:bCs w:val="0"/>
          <w:color w:val="000000"/>
          <w:kern w:val="0"/>
          <w:sz w:val="24"/>
          <w:szCs w:val="24"/>
          <w:lang w:eastAsia="zh-Hans" w:bidi="ar"/>
        </w:rPr>
        <w:t>营业执照复</w:t>
      </w:r>
      <w:r>
        <w:rPr>
          <w:rFonts w:hint="eastAsia" w:ascii="宋体" w:hAnsi="宋体" w:eastAsia="宋体"/>
          <w:b w:val="0"/>
          <w:bCs w:val="0"/>
          <w:color w:val="000000"/>
          <w:kern w:val="0"/>
          <w:sz w:val="24"/>
          <w:szCs w:val="24"/>
          <w:lang w:bidi="ar"/>
        </w:rPr>
        <w:t>印</w:t>
      </w:r>
      <w:r>
        <w:rPr>
          <w:rFonts w:hint="eastAsia" w:ascii="宋体" w:hAnsi="宋体" w:eastAsia="宋体"/>
          <w:b w:val="0"/>
          <w:bCs w:val="0"/>
          <w:color w:val="000000"/>
          <w:kern w:val="0"/>
          <w:sz w:val="24"/>
          <w:szCs w:val="24"/>
          <w:lang w:eastAsia="zh-Hans" w:bidi="ar"/>
        </w:rPr>
        <w:t>件并加盖公章</w:t>
      </w:r>
      <w:r>
        <w:rPr>
          <w:rFonts w:hint="eastAsia" w:ascii="宋体" w:hAnsi="宋体" w:eastAsia="宋体"/>
          <w:b w:val="0"/>
          <w:bCs w:val="0"/>
          <w:color w:val="000000"/>
          <w:kern w:val="0"/>
          <w:sz w:val="24"/>
          <w:szCs w:val="24"/>
          <w:lang w:bidi="ar"/>
        </w:rPr>
        <w:t>（需清晰可见）</w:t>
      </w:r>
    </w:p>
    <w:p w14:paraId="313FABDB">
      <w:pPr>
        <w:spacing w:line="360" w:lineRule="auto"/>
        <w:rPr>
          <w:rFonts w:ascii="宋体" w:hAnsi="宋体" w:eastAsia="宋体"/>
          <w:b w:val="0"/>
          <w:bCs w:val="0"/>
          <w:color w:val="000000"/>
          <w:kern w:val="0"/>
          <w:sz w:val="24"/>
          <w:szCs w:val="24"/>
          <w:lang w:bidi="ar"/>
        </w:rPr>
      </w:pPr>
    </w:p>
    <w:p w14:paraId="11BF7698">
      <w:pPr>
        <w:numPr>
          <w:ilvl w:val="0"/>
          <w:numId w:val="1"/>
        </w:numPr>
        <w:spacing w:line="360" w:lineRule="auto"/>
        <w:rPr>
          <w:rFonts w:ascii="宋体" w:hAnsi="宋体" w:eastAsia="宋体"/>
          <w:b w:val="0"/>
          <w:bCs w:val="0"/>
          <w:color w:val="000000"/>
          <w:kern w:val="0"/>
          <w:sz w:val="24"/>
          <w:szCs w:val="24"/>
          <w:lang w:bidi="ar"/>
        </w:rPr>
      </w:pPr>
      <w:r>
        <w:rPr>
          <w:rFonts w:hint="eastAsia" w:ascii="宋体" w:hAnsi="宋体" w:eastAsia="宋体"/>
          <w:b w:val="0"/>
          <w:bCs w:val="0"/>
          <w:color w:val="000000"/>
          <w:kern w:val="0"/>
          <w:sz w:val="24"/>
          <w:szCs w:val="24"/>
          <w:lang w:bidi="ar"/>
        </w:rPr>
        <w:t>项目报价（需包含维保服务人工费、配件费、运费、安装调试费、差旅费、税费等一切费用）。</w:t>
      </w:r>
    </w:p>
    <w:p w14:paraId="111FB4E6">
      <w:pPr>
        <w:spacing w:line="360" w:lineRule="auto"/>
        <w:rPr>
          <w:rFonts w:ascii="宋体" w:hAnsi="宋体" w:eastAsia="宋体"/>
          <w:b w:val="0"/>
          <w:bCs w:val="0"/>
          <w:color w:val="000000"/>
          <w:kern w:val="0"/>
          <w:sz w:val="24"/>
          <w:szCs w:val="24"/>
          <w:lang w:bidi="ar"/>
        </w:rPr>
      </w:pPr>
    </w:p>
    <w:p w14:paraId="7EBBBC17">
      <w:pPr>
        <w:spacing w:line="360" w:lineRule="auto"/>
        <w:rPr>
          <w:rFonts w:ascii="宋体" w:hAnsi="宋体" w:eastAsia="宋体"/>
          <w:b w:val="0"/>
          <w:bCs w:val="0"/>
          <w:color w:val="000000"/>
          <w:kern w:val="0"/>
          <w:sz w:val="24"/>
          <w:szCs w:val="24"/>
          <w:lang w:bidi="ar"/>
        </w:rPr>
      </w:pPr>
      <w:r>
        <w:rPr>
          <w:rFonts w:hint="eastAsia" w:ascii="宋体" w:hAnsi="宋体" w:eastAsia="宋体"/>
          <w:b w:val="0"/>
          <w:bCs w:val="0"/>
          <w:color w:val="000000"/>
          <w:kern w:val="0"/>
          <w:sz w:val="24"/>
          <w:szCs w:val="24"/>
          <w:lang w:bidi="ar"/>
        </w:rPr>
        <w:t>三、供应商维保服务方案（依我院公示的项目要求进行响应，方案需包含但不仅限于以下几个方面）</w:t>
      </w:r>
    </w:p>
    <w:p w14:paraId="2A857246">
      <w:pPr>
        <w:spacing w:line="360" w:lineRule="auto"/>
        <w:rPr>
          <w:rFonts w:ascii="宋体" w:hAnsi="宋体" w:eastAsia="宋体"/>
          <w:b w:val="0"/>
          <w:bCs w:val="0"/>
          <w:color w:val="000000"/>
          <w:kern w:val="0"/>
          <w:sz w:val="24"/>
          <w:szCs w:val="24"/>
          <w:lang w:bidi="ar"/>
        </w:rPr>
      </w:pPr>
      <w:r>
        <w:rPr>
          <w:rFonts w:hint="eastAsia" w:ascii="宋体" w:hAnsi="宋体" w:eastAsia="宋体"/>
          <w:b w:val="0"/>
          <w:bCs w:val="0"/>
          <w:color w:val="000000"/>
          <w:kern w:val="0"/>
          <w:sz w:val="24"/>
          <w:szCs w:val="24"/>
          <w:lang w:bidi="ar"/>
        </w:rPr>
        <w:t>1、维保范围：</w:t>
      </w:r>
      <w:r>
        <w:rPr>
          <w:rFonts w:hint="eastAsia" w:ascii="宋体" w:hAnsi="宋体" w:eastAsia="宋体"/>
          <w:b w:val="0"/>
          <w:color w:val="000000"/>
          <w:kern w:val="0"/>
          <w:sz w:val="24"/>
          <w:szCs w:val="24"/>
          <w:lang w:bidi="ar"/>
        </w:rPr>
        <w:t>回旋加速器及附属配件维保服务</w:t>
      </w:r>
      <w:r>
        <w:rPr>
          <w:rFonts w:ascii="宋体" w:hAnsi="宋体" w:eastAsia="宋体"/>
          <w:b w:val="0"/>
          <w:color w:val="000000"/>
          <w:kern w:val="0"/>
          <w:sz w:val="24"/>
          <w:szCs w:val="24"/>
          <w:lang w:bidi="ar"/>
        </w:rPr>
        <w:t>（</w:t>
      </w:r>
      <w:r>
        <w:rPr>
          <w:rFonts w:hint="eastAsia" w:ascii="宋体" w:hAnsi="宋体" w:eastAsia="宋体"/>
          <w:b w:val="0"/>
          <w:color w:val="000000"/>
          <w:kern w:val="0"/>
          <w:sz w:val="24"/>
          <w:szCs w:val="24"/>
          <w:lang w:bidi="ar"/>
        </w:rPr>
        <w:t>含固体靶</w:t>
      </w:r>
      <w:r>
        <w:rPr>
          <w:rFonts w:ascii="宋体" w:hAnsi="宋体" w:eastAsia="宋体"/>
          <w:b w:val="0"/>
          <w:color w:val="000000"/>
          <w:kern w:val="0"/>
          <w:sz w:val="24"/>
          <w:szCs w:val="24"/>
          <w:lang w:bidi="ar"/>
        </w:rPr>
        <w:t>）</w:t>
      </w:r>
      <w:r>
        <w:rPr>
          <w:rFonts w:hint="eastAsia" w:ascii="宋体" w:hAnsi="宋体" w:eastAsia="宋体"/>
          <w:b w:val="0"/>
          <w:bCs w:val="0"/>
          <w:color w:val="000000"/>
          <w:kern w:val="0"/>
          <w:sz w:val="24"/>
          <w:szCs w:val="24"/>
          <w:lang w:bidi="ar"/>
        </w:rPr>
        <w:t>。</w:t>
      </w:r>
    </w:p>
    <w:p w14:paraId="3EA2D273">
      <w:pPr>
        <w:pStyle w:val="5"/>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2、设备的开机率不低于（98%），按全年365天计算：是否能完全响应。</w:t>
      </w:r>
    </w:p>
    <w:p w14:paraId="78F267FC">
      <w:pPr>
        <w:spacing w:line="360" w:lineRule="auto"/>
        <w:rPr>
          <w:rFonts w:ascii="宋体" w:hAnsi="宋体" w:eastAsia="宋体"/>
          <w:b w:val="0"/>
          <w:bCs w:val="0"/>
          <w:color w:val="000000"/>
          <w:kern w:val="0"/>
          <w:sz w:val="24"/>
          <w:szCs w:val="24"/>
          <w:lang w:bidi="ar"/>
        </w:rPr>
      </w:pPr>
      <w:r>
        <w:rPr>
          <w:rFonts w:hint="eastAsia" w:ascii="宋体" w:hAnsi="宋体" w:eastAsia="宋体"/>
          <w:b w:val="0"/>
          <w:bCs w:val="0"/>
          <w:color w:val="000000"/>
          <w:kern w:val="0"/>
          <w:sz w:val="24"/>
          <w:szCs w:val="24"/>
          <w:lang w:bidi="ar"/>
        </w:rPr>
        <w:t>3、配件要求：保修期内维保人工及配件费用全免。为保证整机性能安全稳定，所更换的备件必须与原设备完全兼容且不得影响设备的安全性能与使用效果，不会给设备带来危害，维修后的设备须符合原设备技术指标及相应的国家质量标准要求，并提供零配件的相关材料。维修更换的备件须提供备件合格证书，若为进口配件还须提供报关单材料。</w:t>
      </w:r>
    </w:p>
    <w:p w14:paraId="6DA13ED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4"/>
          <w:szCs w:val="24"/>
          <w:lang w:val="en-US" w:eastAsia="zh-CN" w:bidi="ar"/>
        </w:rPr>
      </w:pPr>
      <w:bookmarkStart w:id="0" w:name="_GoBack"/>
      <w:bookmarkEnd w:id="0"/>
      <w:r>
        <w:rPr>
          <w:rFonts w:hint="eastAsia" w:ascii="宋体" w:hAnsi="宋体" w:eastAsia="宋体" w:cs="宋体"/>
          <w:b w:val="0"/>
          <w:bCs w:val="0"/>
          <w:color w:val="000000"/>
          <w:kern w:val="0"/>
          <w:sz w:val="24"/>
          <w:szCs w:val="24"/>
          <w:lang w:val="en-US" w:eastAsia="zh-CN" w:bidi="ar"/>
        </w:rPr>
        <w:t>4、服务响应情况：是否能提供7×24小时全天候服务响应，报修响应时间，人员到场时间等。</w:t>
      </w:r>
    </w:p>
    <w:p w14:paraId="758E1FE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5、预防性维保情况：年度保养次数，保养方案等。</w:t>
      </w:r>
    </w:p>
    <w:p w14:paraId="59625FC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6、人员配备情况：能为本项目配备具有</w:t>
      </w:r>
      <w:r>
        <w:rPr>
          <w:rFonts w:hint="default" w:ascii="宋体" w:hAnsi="宋体" w:eastAsia="宋体" w:cs="宋体"/>
          <w:b w:val="0"/>
          <w:bCs w:val="0"/>
          <w:color w:val="000000"/>
          <w:kern w:val="0"/>
          <w:sz w:val="24"/>
          <w:szCs w:val="24"/>
          <w:lang w:val="en-US" w:eastAsia="zh-CN" w:bidi="ar"/>
        </w:rPr>
        <w:t>专业技术能力的专职维修工程师</w:t>
      </w:r>
      <w:r>
        <w:rPr>
          <w:rFonts w:hint="eastAsia" w:ascii="宋体" w:hAnsi="宋体" w:eastAsia="宋体" w:cs="宋体"/>
          <w:b w:val="0"/>
          <w:bCs w:val="0"/>
          <w:color w:val="000000"/>
          <w:kern w:val="0"/>
          <w:sz w:val="24"/>
          <w:szCs w:val="24"/>
          <w:lang w:val="en-US" w:eastAsia="zh-CN" w:bidi="ar"/>
        </w:rPr>
        <w:t>的人数，</w:t>
      </w:r>
      <w:r>
        <w:rPr>
          <w:rFonts w:hint="default" w:ascii="宋体" w:hAnsi="宋体" w:eastAsia="宋体" w:cs="宋体"/>
          <w:b w:val="0"/>
          <w:bCs w:val="0"/>
          <w:color w:val="000000"/>
          <w:kern w:val="0"/>
          <w:sz w:val="24"/>
          <w:szCs w:val="24"/>
          <w:lang w:val="en-US" w:eastAsia="zh-CN" w:bidi="ar"/>
        </w:rPr>
        <w:t>工程师</w:t>
      </w:r>
      <w:r>
        <w:rPr>
          <w:rFonts w:hint="eastAsia" w:ascii="宋体" w:hAnsi="宋体" w:eastAsia="宋体" w:cs="宋体"/>
          <w:b w:val="0"/>
          <w:bCs w:val="0"/>
          <w:color w:val="000000"/>
          <w:kern w:val="0"/>
          <w:sz w:val="24"/>
          <w:szCs w:val="24"/>
          <w:lang w:val="en-US" w:eastAsia="zh-CN" w:bidi="ar"/>
        </w:rPr>
        <w:t>是否具备</w:t>
      </w:r>
      <w:r>
        <w:rPr>
          <w:rFonts w:hint="default" w:ascii="宋体" w:hAnsi="宋体" w:eastAsia="宋体" w:cs="宋体"/>
          <w:b w:val="0"/>
          <w:bCs w:val="0"/>
          <w:color w:val="000000"/>
          <w:kern w:val="0"/>
          <w:sz w:val="24"/>
          <w:szCs w:val="24"/>
          <w:lang w:val="en-US" w:eastAsia="zh-CN" w:bidi="ar"/>
        </w:rPr>
        <w:t>经设备原厂技术培训合格并认证的工程师资质证书</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eastAsia="宋体" w:cs="宋体"/>
          <w:b w:val="0"/>
          <w:bCs w:val="0"/>
          <w:color w:val="000000"/>
          <w:kern w:val="0"/>
          <w:sz w:val="24"/>
          <w:szCs w:val="24"/>
          <w:lang w:val="en-US" w:eastAsia="zh-CN" w:bidi="ar"/>
        </w:rPr>
        <w:t>是否具备项目相关各类专业证书、培训证书等。</w:t>
      </w:r>
    </w:p>
    <w:p w14:paraId="1F320B06">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7、服务期内是否能免费提供设备的系统软件升级补丁和技术支持，保证所有系统软件为最新版本，提供符合最新国标的设备软硬件升级服务。</w:t>
      </w:r>
    </w:p>
    <w:p w14:paraId="0EA1227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lang w:eastAsia="zh-CN"/>
        </w:rPr>
      </w:pPr>
      <w:r>
        <w:rPr>
          <w:rFonts w:hint="eastAsia" w:ascii="宋体" w:hAnsi="宋体" w:eastAsia="宋体" w:cs="宋体"/>
          <w:b w:val="0"/>
          <w:bCs w:val="0"/>
          <w:color w:val="000000"/>
          <w:kern w:val="0"/>
          <w:sz w:val="24"/>
          <w:szCs w:val="24"/>
          <w:lang w:val="en-US" w:eastAsia="zh-CN" w:bidi="ar"/>
        </w:rPr>
        <w:t>8、</w:t>
      </w:r>
      <w:r>
        <w:rPr>
          <w:rFonts w:hint="eastAsia" w:ascii="宋体" w:hAnsi="宋体" w:eastAsia="宋体" w:cs="宋体"/>
          <w:b w:val="0"/>
          <w:bCs w:val="0"/>
          <w:color w:val="000000"/>
          <w:sz w:val="24"/>
          <w:szCs w:val="24"/>
        </w:rPr>
        <w:t>应急措施：</w:t>
      </w:r>
      <w:r>
        <w:rPr>
          <w:rFonts w:hint="eastAsia" w:ascii="宋体" w:hAnsi="宋体" w:eastAsia="宋体" w:cs="宋体"/>
          <w:b w:val="0"/>
          <w:bCs w:val="0"/>
          <w:color w:val="000000"/>
          <w:sz w:val="24"/>
          <w:szCs w:val="24"/>
          <w:lang w:val="en-US" w:eastAsia="zh-CN"/>
        </w:rPr>
        <w:t>是否能</w:t>
      </w:r>
      <w:r>
        <w:rPr>
          <w:rFonts w:hint="eastAsia" w:ascii="宋体" w:hAnsi="宋体" w:eastAsia="宋体" w:cs="宋体"/>
          <w:b w:val="0"/>
          <w:bCs w:val="0"/>
          <w:color w:val="000000"/>
          <w:sz w:val="24"/>
          <w:szCs w:val="24"/>
        </w:rPr>
        <w:t>提供远程技术支持，</w:t>
      </w:r>
      <w:r>
        <w:rPr>
          <w:rFonts w:hint="eastAsia" w:ascii="宋体" w:hAnsi="宋体" w:eastAsia="宋体" w:cs="宋体"/>
          <w:b w:val="0"/>
          <w:bCs w:val="0"/>
          <w:color w:val="000000"/>
          <w:sz w:val="24"/>
          <w:szCs w:val="24"/>
          <w:lang w:val="en-US" w:eastAsia="zh-CN"/>
        </w:rPr>
        <w:t>是否能提供备用机、</w:t>
      </w:r>
      <w:r>
        <w:rPr>
          <w:rFonts w:hint="eastAsia" w:ascii="宋体" w:hAnsi="宋体" w:eastAsia="宋体" w:cs="宋体"/>
          <w:b w:val="0"/>
          <w:bCs w:val="0"/>
          <w:color w:val="000000"/>
          <w:sz w:val="24"/>
          <w:szCs w:val="24"/>
        </w:rPr>
        <w:t>备品备件</w:t>
      </w:r>
      <w:r>
        <w:rPr>
          <w:rFonts w:hint="eastAsia" w:ascii="宋体" w:hAnsi="宋体" w:eastAsia="宋体" w:cs="宋体"/>
          <w:b w:val="0"/>
          <w:bCs w:val="0"/>
          <w:color w:val="000000"/>
          <w:sz w:val="24"/>
          <w:szCs w:val="24"/>
          <w:lang w:val="en-US" w:eastAsia="zh-CN"/>
        </w:rPr>
        <w:t>的紧急调配</w:t>
      </w:r>
      <w:r>
        <w:rPr>
          <w:rFonts w:hint="eastAsia" w:ascii="宋体" w:hAnsi="宋体" w:eastAsia="宋体" w:cs="宋体"/>
          <w:b w:val="0"/>
          <w:bCs w:val="0"/>
          <w:color w:val="000000"/>
          <w:sz w:val="24"/>
          <w:szCs w:val="24"/>
        </w:rPr>
        <w:t>、突发事件处理方案等</w:t>
      </w:r>
      <w:r>
        <w:rPr>
          <w:rFonts w:hint="eastAsia" w:ascii="宋体" w:hAnsi="宋体" w:eastAsia="宋体" w:cs="宋体"/>
          <w:b w:val="0"/>
          <w:bCs w:val="0"/>
          <w:color w:val="000000"/>
          <w:sz w:val="24"/>
          <w:szCs w:val="24"/>
          <w:lang w:eastAsia="zh-CN"/>
        </w:rPr>
        <w:t>。</w:t>
      </w:r>
    </w:p>
    <w:p w14:paraId="2A854E24">
      <w:pPr>
        <w:rPr>
          <w:rFonts w:ascii="宋体" w:hAnsi="宋体" w:eastAsia="宋体"/>
          <w:b w:val="0"/>
          <w:bCs w:val="0"/>
          <w:color w:val="000000"/>
          <w:sz w:val="28"/>
          <w:szCs w:val="28"/>
        </w:rPr>
      </w:pP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Noto Sans SC">
    <w:panose1 w:val="020B0200000000000000"/>
    <w:charset w:val="86"/>
    <w:family w:val="swiss"/>
    <w:pitch w:val="default"/>
    <w:sig w:usb0="20000083" w:usb1="2ADF3C10" w:usb2="00000016" w:usb3="00000000" w:csb0="60060107" w:csb1="00000000"/>
  </w:font>
  <w:font w:name="KSOFE44F9426">
    <w:panose1 w:val="02010609060101010101"/>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364D5A"/>
    <w:multiLevelType w:val="singleLevel"/>
    <w:tmpl w:val="47364D5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AE6F26"/>
    <w:rsid w:val="003269C3"/>
    <w:rsid w:val="00915104"/>
    <w:rsid w:val="009E6912"/>
    <w:rsid w:val="00AC2628"/>
    <w:rsid w:val="00BE6657"/>
    <w:rsid w:val="00C9314D"/>
    <w:rsid w:val="00F44776"/>
    <w:rsid w:val="00FE1832"/>
    <w:rsid w:val="018E7169"/>
    <w:rsid w:val="024535A0"/>
    <w:rsid w:val="037759DB"/>
    <w:rsid w:val="04DC4690"/>
    <w:rsid w:val="09267F21"/>
    <w:rsid w:val="0BCD50A8"/>
    <w:rsid w:val="122B4561"/>
    <w:rsid w:val="156C041B"/>
    <w:rsid w:val="18B76B4E"/>
    <w:rsid w:val="18FE477D"/>
    <w:rsid w:val="1CDD6D9F"/>
    <w:rsid w:val="1F10520A"/>
    <w:rsid w:val="200F7270"/>
    <w:rsid w:val="227C4964"/>
    <w:rsid w:val="261C6242"/>
    <w:rsid w:val="292C49EE"/>
    <w:rsid w:val="2B634FBD"/>
    <w:rsid w:val="2BCF4BE7"/>
    <w:rsid w:val="2CDF3245"/>
    <w:rsid w:val="2DDE4924"/>
    <w:rsid w:val="2DEF5E10"/>
    <w:rsid w:val="2E06778F"/>
    <w:rsid w:val="2EED4C20"/>
    <w:rsid w:val="31E652DD"/>
    <w:rsid w:val="31F2254D"/>
    <w:rsid w:val="31FB58A6"/>
    <w:rsid w:val="350A2ADD"/>
    <w:rsid w:val="36BD312A"/>
    <w:rsid w:val="398E0DAD"/>
    <w:rsid w:val="3BCB5776"/>
    <w:rsid w:val="3CF61143"/>
    <w:rsid w:val="3FE21E53"/>
    <w:rsid w:val="3FF34060"/>
    <w:rsid w:val="41D852BC"/>
    <w:rsid w:val="435412BA"/>
    <w:rsid w:val="43DF7A71"/>
    <w:rsid w:val="43FB2662"/>
    <w:rsid w:val="45981F4D"/>
    <w:rsid w:val="46326F64"/>
    <w:rsid w:val="467D0B27"/>
    <w:rsid w:val="46F93FAE"/>
    <w:rsid w:val="4B571947"/>
    <w:rsid w:val="4CAE6F26"/>
    <w:rsid w:val="4DD95A7F"/>
    <w:rsid w:val="4FF260E2"/>
    <w:rsid w:val="52A1794C"/>
    <w:rsid w:val="566E3FE9"/>
    <w:rsid w:val="56A31EE4"/>
    <w:rsid w:val="57340CF2"/>
    <w:rsid w:val="57452946"/>
    <w:rsid w:val="5A9F22A4"/>
    <w:rsid w:val="5B85605C"/>
    <w:rsid w:val="5D7F6ADB"/>
    <w:rsid w:val="5DB83B9F"/>
    <w:rsid w:val="5E8D0662"/>
    <w:rsid w:val="60EC16EE"/>
    <w:rsid w:val="623E19AE"/>
    <w:rsid w:val="624E4B9F"/>
    <w:rsid w:val="628A3F58"/>
    <w:rsid w:val="63BE035D"/>
    <w:rsid w:val="65976197"/>
    <w:rsid w:val="67C63C85"/>
    <w:rsid w:val="68B7537B"/>
    <w:rsid w:val="6A5A4B58"/>
    <w:rsid w:val="6E501734"/>
    <w:rsid w:val="703D085C"/>
    <w:rsid w:val="70716758"/>
    <w:rsid w:val="70891CF3"/>
    <w:rsid w:val="740873D3"/>
    <w:rsid w:val="74B4020F"/>
    <w:rsid w:val="74F3709F"/>
    <w:rsid w:val="766C3C49"/>
    <w:rsid w:val="79C97604"/>
    <w:rsid w:val="7A37456E"/>
    <w:rsid w:val="7B5B2589"/>
    <w:rsid w:val="7D2A6AD2"/>
    <w:rsid w:val="7D9F2E48"/>
    <w:rsid w:val="7EB02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b/>
      <w:bCs/>
      <w:color w:val="000000" w:themeColor="text1"/>
      <w:kern w:val="28"/>
      <w:sz w:val="21"/>
      <w:szCs w:val="21"/>
      <w:lang w:val="en-US" w:eastAsia="zh-CN" w:bidi="ar-SA"/>
      <w14:textFill>
        <w14:solidFill>
          <w14:schemeClr w14:val="tx1"/>
        </w14:solidFill>
      </w14:textFill>
    </w:rPr>
  </w:style>
  <w:style w:type="character" w:default="1" w:styleId="8">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footer"/>
    <w:basedOn w:val="1"/>
    <w:link w:val="15"/>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Body Text First Indent 2"/>
    <w:basedOn w:val="2"/>
    <w:semiHidden/>
    <w:unhideWhenUsed/>
    <w:qFormat/>
    <w:uiPriority w:val="99"/>
    <w:pPr>
      <w:ind w:firstLine="420" w:firstLineChars="200"/>
    </w:pPr>
    <w:rPr>
      <w:rFonts w:ascii="Times New Roman" w:hAnsi="Times New Roman" w:eastAsia="宋体" w:cs="Times New Roman"/>
      <w:szCs w:val="24"/>
    </w:rPr>
  </w:style>
  <w:style w:type="character" w:styleId="9">
    <w:name w:val="Strong"/>
    <w:qFormat/>
    <w:uiPriority w:val="22"/>
    <w:rPr>
      <w:b/>
      <w:bCs/>
    </w:rPr>
  </w:style>
  <w:style w:type="character" w:styleId="10">
    <w:name w:val="Hyperlink"/>
    <w:basedOn w:val="8"/>
    <w:qFormat/>
    <w:uiPriority w:val="0"/>
    <w:rPr>
      <w:color w:val="0000FF"/>
      <w:u w:val="single"/>
    </w:rPr>
  </w:style>
  <w:style w:type="paragraph" w:styleId="11">
    <w:name w:val="List Paragraph"/>
    <w:basedOn w:val="1"/>
    <w:qFormat/>
    <w:uiPriority w:val="34"/>
    <w:pPr>
      <w:ind w:firstLine="420" w:firstLineChars="200"/>
    </w:pPr>
    <w:rPr>
      <w:rFonts w:ascii="Calibri" w:hAnsi="Calibri"/>
      <w:szCs w:val="22"/>
    </w:rPr>
  </w:style>
  <w:style w:type="character" w:customStyle="1" w:styleId="12">
    <w:name w:val="font51"/>
    <w:basedOn w:val="8"/>
    <w:qFormat/>
    <w:uiPriority w:val="0"/>
    <w:rPr>
      <w:rFonts w:hint="default" w:ascii="仿宋_GB2312" w:eastAsia="仿宋_GB2312" w:cs="仿宋_GB2312"/>
      <w:color w:val="000000"/>
      <w:sz w:val="24"/>
      <w:szCs w:val="24"/>
      <w:u w:val="single"/>
    </w:rPr>
  </w:style>
  <w:style w:type="character" w:customStyle="1" w:styleId="13">
    <w:name w:val="font31"/>
    <w:basedOn w:val="8"/>
    <w:qFormat/>
    <w:uiPriority w:val="0"/>
    <w:rPr>
      <w:rFonts w:hint="default" w:ascii="仿宋_GB2312" w:eastAsia="仿宋_GB2312" w:cs="仿宋_GB2312"/>
      <w:color w:val="000000"/>
      <w:sz w:val="24"/>
      <w:szCs w:val="24"/>
      <w:u w:val="none"/>
    </w:rPr>
  </w:style>
  <w:style w:type="character" w:customStyle="1" w:styleId="14">
    <w:name w:val="页眉 字符"/>
    <w:basedOn w:val="8"/>
    <w:link w:val="4"/>
    <w:qFormat/>
    <w:uiPriority w:val="0"/>
    <w:rPr>
      <w:rFonts w:cs="宋体" w:asciiTheme="minorHAnsi" w:hAnsiTheme="minorHAnsi" w:eastAsiaTheme="minorEastAsia"/>
      <w:b/>
      <w:bCs/>
      <w:color w:val="000000" w:themeColor="text1"/>
      <w:kern w:val="28"/>
      <w:sz w:val="18"/>
      <w:szCs w:val="18"/>
      <w14:textFill>
        <w14:solidFill>
          <w14:schemeClr w14:val="tx1"/>
        </w14:solidFill>
      </w14:textFill>
    </w:rPr>
  </w:style>
  <w:style w:type="character" w:customStyle="1" w:styleId="15">
    <w:name w:val="页脚 字符"/>
    <w:basedOn w:val="8"/>
    <w:link w:val="3"/>
    <w:qFormat/>
    <w:uiPriority w:val="0"/>
    <w:rPr>
      <w:rFonts w:cs="宋体" w:asciiTheme="minorHAnsi" w:hAnsiTheme="minorHAnsi" w:eastAsiaTheme="minorEastAsia"/>
      <w:b/>
      <w:bCs/>
      <w:color w:val="000000" w:themeColor="text1"/>
      <w:kern w:val="28"/>
      <w:sz w:val="18"/>
      <w:szCs w:val="18"/>
      <w14:textFill>
        <w14:solidFill>
          <w14:schemeClr w14:val="tx1"/>
        </w14:solidFill>
      </w14:textFill>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638</Words>
  <Characters>646</Characters>
  <Lines>5</Lines>
  <Paragraphs>1</Paragraphs>
  <TotalTime>0</TotalTime>
  <ScaleCrop>false</ScaleCrop>
  <LinksUpToDate>false</LinksUpToDate>
  <CharactersWithSpaces>683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2025-11-19T08:56:00Z</dcterms:created>
  <dc:creator>开心开心</dc:creator>
  <cp:lastModifiedBy>MisaKi</cp:lastModifiedBy>
  <cp:lastPrinted>2026-08-12T03:34:00Z</cp:lastPrinted>
  <dcterms:modified xsi:type="dcterms:W3CDTF">2026-08-14T17:16:25Z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C7E16C8F9BE746B3A5301F95FAC5E34D_13</vt:lpwstr>
  </property>
  <property fmtid="{D5CDD505-2E9C-101B-9397-08002B2CF9AE}" pid="4" name="KSOTemplateDocerSaveRecord">
    <vt:lpwstr>eyJoZGlkIjoiYmE1MjQzYzAwYzAyZDU0ZGM1ODg2MmUxNTJjYzM4MjMiLCJ1c2VySWQiOiI2MzgwOTU3MzAifQ==</vt:lpwstr>
  </property>
</Properties>
</file>