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E551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</w:t>
      </w:r>
      <w:r>
        <w:rPr>
          <w:rFonts w:hint="eastAsia"/>
          <w:sz w:val="28"/>
          <w:szCs w:val="28"/>
          <w:lang w:val="en-US" w:eastAsia="zh-CN"/>
        </w:rPr>
        <w:t>锅炉参数要求</w:t>
      </w:r>
    </w:p>
    <w:p w14:paraId="4D011599">
      <w:pPr>
        <w:pStyle w:val="2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质量和技术标准、要求</w:t>
      </w:r>
    </w:p>
    <w:p w14:paraId="521C691D">
      <w:pPr>
        <w:pStyle w:val="2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u w:val="none"/>
          <w:lang w:val="en-US" w:eastAsia="zh-CN" w:bidi="ar-SA"/>
        </w:rPr>
        <w:t>乙方按要求完成茶亭院区2台电蒸汽锅炉维保服务，具体要求如下：</w:t>
      </w:r>
    </w:p>
    <w:p w14:paraId="24C61FE0">
      <w:pPr>
        <w:pStyle w:val="2"/>
        <w:numPr>
          <w:ilvl w:val="0"/>
          <w:numId w:val="0"/>
        </w:numPr>
        <w:spacing w:after="62" w:line="360" w:lineRule="auto"/>
        <w:ind w:left="0" w:leftChars="0" w:firstLine="480" w:firstLineChars="200"/>
        <w:jc w:val="left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在每年锅炉年检停炉期间，乙方应对锅炉进行一次全面、系统的维修及保养。具体内容如下：</w:t>
      </w:r>
    </w:p>
    <w:p w14:paraId="6C27D131">
      <w:pPr>
        <w:pStyle w:val="7"/>
        <w:numPr>
          <w:ilvl w:val="-1"/>
          <w:numId w:val="0"/>
        </w:numPr>
        <w:spacing w:after="62" w:line="360" w:lineRule="auto"/>
        <w:ind w:left="420" w:leftChars="200" w:firstLine="0" w:firstLineChars="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1.1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检查所有设备电器的技术参数，调整至正常状态。</w:t>
      </w:r>
    </w:p>
    <w:p w14:paraId="651DFBCC">
      <w:pPr>
        <w:pStyle w:val="7"/>
        <w:numPr>
          <w:ilvl w:val="-1"/>
          <w:numId w:val="0"/>
        </w:numPr>
        <w:spacing w:after="62" w:line="360" w:lineRule="auto"/>
        <w:ind w:left="420" w:leftChars="200" w:firstLine="0" w:firstLineChars="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1.2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检查电器控制元件是否正常，接线是否松动。</w:t>
      </w:r>
    </w:p>
    <w:p w14:paraId="32D79837">
      <w:pPr>
        <w:pStyle w:val="7"/>
        <w:numPr>
          <w:ilvl w:val="-1"/>
          <w:numId w:val="0"/>
        </w:numPr>
        <w:spacing w:after="62" w:line="360" w:lineRule="auto"/>
        <w:ind w:left="420" w:leftChars="200" w:firstLine="0" w:firstLineChars="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1.3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锅炉水位计清洗、校准。</w:t>
      </w:r>
    </w:p>
    <w:p w14:paraId="36B8DB9F">
      <w:pPr>
        <w:pStyle w:val="7"/>
        <w:numPr>
          <w:ilvl w:val="-1"/>
          <w:numId w:val="0"/>
        </w:numPr>
        <w:spacing w:after="62" w:line="360" w:lineRule="auto"/>
        <w:ind w:left="0" w:leftChars="0" w:firstLine="480" w:firstLineChars="20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1.4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对锅炉自控设备、电器元件（温度模块、程控器、操作柜、空气开关、接触器、继电器等）电动门进行清洁、保养，试动作运行正常为止。</w:t>
      </w:r>
    </w:p>
    <w:p w14:paraId="2C5465FC">
      <w:pPr>
        <w:pStyle w:val="7"/>
        <w:numPr>
          <w:ilvl w:val="-1"/>
          <w:numId w:val="0"/>
        </w:numPr>
        <w:spacing w:after="62" w:line="360" w:lineRule="auto"/>
        <w:ind w:left="420" w:leftChars="200" w:firstLine="0" w:firstLineChars="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1.5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打开炉体检修孔检查炉体内外情况，若结垢严重应及时进行处理。</w:t>
      </w: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1.6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手动、自动控制转换的检查。</w:t>
      </w:r>
    </w:p>
    <w:p w14:paraId="72DEF2B2">
      <w:pPr>
        <w:pStyle w:val="7"/>
        <w:numPr>
          <w:ilvl w:val="-1"/>
          <w:numId w:val="0"/>
        </w:numPr>
        <w:spacing w:after="62" w:line="360" w:lineRule="auto"/>
        <w:ind w:left="0" w:leftChars="0" w:firstLine="480" w:firstLineChars="20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1.7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水位、压力表的检查。</w:t>
      </w:r>
    </w:p>
    <w:p w14:paraId="739093A5">
      <w:pPr>
        <w:pStyle w:val="7"/>
        <w:numPr>
          <w:ilvl w:val="-1"/>
          <w:numId w:val="0"/>
        </w:numPr>
        <w:spacing w:after="62" w:line="360" w:lineRule="auto"/>
        <w:ind w:left="0" w:leftChars="0" w:firstLine="480" w:firstLineChars="20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1.8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锅炉蒸汽管道的检查。</w:t>
      </w:r>
    </w:p>
    <w:p w14:paraId="5FE95BE8">
      <w:pPr>
        <w:pStyle w:val="7"/>
        <w:numPr>
          <w:ilvl w:val="-1"/>
          <w:numId w:val="0"/>
        </w:numPr>
        <w:spacing w:after="62" w:line="360" w:lineRule="auto"/>
        <w:ind w:left="420" w:leftChars="200" w:firstLine="0" w:firstLineChars="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1.9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各种保护的检查：水位（缺水）、温度、压力、过电流、过电压、漏电保护。</w:t>
      </w:r>
    </w:p>
    <w:p w14:paraId="201BAA24">
      <w:pPr>
        <w:pStyle w:val="7"/>
        <w:numPr>
          <w:ilvl w:val="-1"/>
          <w:numId w:val="0"/>
        </w:numPr>
        <w:spacing w:after="62" w:line="360" w:lineRule="auto"/>
        <w:ind w:left="0" w:leftChars="0" w:firstLine="480" w:firstLineChars="20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1.10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锅炉各种阀门检查填料、开放位置，漏气严重则需要更换。</w:t>
      </w:r>
    </w:p>
    <w:p w14:paraId="79E530C8">
      <w:pPr>
        <w:pStyle w:val="7"/>
        <w:numPr>
          <w:ilvl w:val="-1"/>
          <w:numId w:val="0"/>
        </w:numPr>
        <w:spacing w:after="62" w:line="360" w:lineRule="auto"/>
        <w:ind w:left="0" w:leftChars="0" w:firstLine="480" w:firstLineChars="20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1.11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锅炉软水处理器水质检查，必要时更换树脂以确保锅炉有合格的软水。</w:t>
      </w:r>
    </w:p>
    <w:p w14:paraId="468FE0FA">
      <w:pPr>
        <w:pStyle w:val="7"/>
        <w:numPr>
          <w:ilvl w:val="-1"/>
          <w:numId w:val="0"/>
        </w:numPr>
        <w:spacing w:after="62" w:line="360" w:lineRule="auto"/>
        <w:ind w:left="0" w:leftChars="0" w:firstLine="480" w:firstLineChars="20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1.12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操作技能培训及互相交流节能操作程序，从而达到锅炉节能高效运行。</w:t>
      </w:r>
    </w:p>
    <w:p w14:paraId="7EE0EBED">
      <w:pPr>
        <w:pStyle w:val="7"/>
        <w:numPr>
          <w:ilvl w:val="-1"/>
          <w:numId w:val="0"/>
        </w:numPr>
        <w:spacing w:after="62" w:line="360" w:lineRule="auto"/>
        <w:ind w:left="0" w:leftChars="0" w:firstLine="480" w:firstLineChars="20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保养期内，乙方专业锅炉维保人员每月一次执行专业维修保养服务，对甲方设备进行检查、清洁，调整经济操作，以确保锅炉正常、安全、高效运行，并对甲方设备提供24小时紧急故障处理服务，其主要维修保养内容如下：</w:t>
      </w:r>
    </w:p>
    <w:p w14:paraId="3683EB1C">
      <w:pPr>
        <w:pStyle w:val="7"/>
        <w:numPr>
          <w:ilvl w:val="-1"/>
          <w:numId w:val="0"/>
        </w:numPr>
        <w:spacing w:after="62" w:line="360" w:lineRule="auto"/>
        <w:ind w:left="420" w:leftChars="200" w:firstLine="0" w:firstLineChars="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2.1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锅炉基本运行状况检查。</w:t>
      </w:r>
    </w:p>
    <w:p w14:paraId="6F1CCB35">
      <w:pPr>
        <w:pStyle w:val="7"/>
        <w:numPr>
          <w:ilvl w:val="-1"/>
          <w:numId w:val="0"/>
        </w:numPr>
        <w:spacing w:after="62" w:line="360" w:lineRule="auto"/>
        <w:ind w:left="420" w:leftChars="200" w:firstLine="0" w:firstLineChars="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2.2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对所有设备各部位进行测试校正。</w:t>
      </w:r>
    </w:p>
    <w:p w14:paraId="1F6E10C5">
      <w:pPr>
        <w:pStyle w:val="7"/>
        <w:numPr>
          <w:ilvl w:val="-1"/>
          <w:numId w:val="0"/>
        </w:numPr>
        <w:spacing w:after="62" w:line="360" w:lineRule="auto"/>
        <w:ind w:left="420" w:leftChars="200" w:firstLine="0" w:firstLineChars="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2.3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紧固电器配件的接线端子。</w:t>
      </w:r>
    </w:p>
    <w:p w14:paraId="08EF24BA">
      <w:pPr>
        <w:pStyle w:val="7"/>
        <w:numPr>
          <w:ilvl w:val="-1"/>
          <w:numId w:val="0"/>
        </w:numPr>
        <w:spacing w:after="62" w:line="360" w:lineRule="auto"/>
        <w:ind w:left="420" w:leftChars="200" w:firstLine="0" w:firstLineChars="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2.4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检查锅炉设备运行是否正常，参数是否正常。</w:t>
      </w:r>
    </w:p>
    <w:p w14:paraId="0C625750">
      <w:pPr>
        <w:pStyle w:val="7"/>
        <w:numPr>
          <w:ilvl w:val="-1"/>
          <w:numId w:val="0"/>
        </w:numPr>
        <w:spacing w:after="62" w:line="360" w:lineRule="auto"/>
        <w:ind w:left="420" w:leftChars="200" w:firstLine="0" w:firstLineChars="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2.5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检查各运行部件的电动机噪音、电流、电极绝缘情况。</w:t>
      </w:r>
    </w:p>
    <w:p w14:paraId="07D0794B">
      <w:pPr>
        <w:pStyle w:val="7"/>
        <w:numPr>
          <w:ilvl w:val="-1"/>
          <w:numId w:val="0"/>
        </w:numPr>
        <w:spacing w:after="62" w:line="360" w:lineRule="auto"/>
        <w:ind w:left="420" w:leftChars="200" w:firstLine="0" w:firstLineChars="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2.6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检查设备的工作效率，调整至最佳状态。</w:t>
      </w:r>
    </w:p>
    <w:p w14:paraId="2D06CC22">
      <w:pPr>
        <w:pStyle w:val="7"/>
        <w:numPr>
          <w:ilvl w:val="-1"/>
          <w:numId w:val="0"/>
        </w:numPr>
        <w:spacing w:after="62" w:line="360" w:lineRule="auto"/>
        <w:ind w:left="420" w:leftChars="200" w:firstLine="0" w:firstLineChars="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2.7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各保护设施检查，试动作保护的灵敏性。</w:t>
      </w:r>
    </w:p>
    <w:p w14:paraId="5DCC0EA2">
      <w:pPr>
        <w:pStyle w:val="7"/>
        <w:numPr>
          <w:ilvl w:val="-1"/>
          <w:numId w:val="0"/>
        </w:numPr>
        <w:spacing w:after="62" w:line="360" w:lineRule="auto"/>
        <w:ind w:left="420" w:leftChars="200" w:firstLine="0" w:firstLineChars="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 xml:space="preserve">2.8  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和操作人员沟通运行中最节能的操作程序而达到节能效果。</w:t>
      </w:r>
    </w:p>
    <w:p w14:paraId="46936BFF">
      <w:pPr>
        <w:pStyle w:val="7"/>
        <w:numPr>
          <w:ilvl w:val="-1"/>
          <w:numId w:val="0"/>
        </w:numPr>
        <w:spacing w:after="62" w:line="360" w:lineRule="auto"/>
        <w:ind w:left="0" w:leftChars="0" w:firstLine="480" w:firstLineChars="20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每次维保结束后，乙方应向甲方呈交一份维修保养报告，经甲方具体经办人员验收合格后，在维修保养报告上签字确认。如维修保养工作未达到服务要求，乙方有责任重新对设备进行检查及调整，直至验收合格为止。</w:t>
      </w:r>
    </w:p>
    <w:p w14:paraId="38676427">
      <w:pPr>
        <w:pStyle w:val="7"/>
        <w:numPr>
          <w:ilvl w:val="-1"/>
          <w:numId w:val="0"/>
        </w:numPr>
        <w:spacing w:after="62" w:line="360" w:lineRule="auto"/>
        <w:ind w:left="0" w:leftChars="0" w:firstLine="480" w:firstLineChars="20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>4、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若需更换零配件需取得甲方确认的情况下方可更换（费用由甲方承担）。</w:t>
      </w:r>
    </w:p>
    <w:p w14:paraId="47006143">
      <w:pPr>
        <w:pStyle w:val="7"/>
        <w:numPr>
          <w:ilvl w:val="-1"/>
          <w:numId w:val="0"/>
        </w:numPr>
        <w:spacing w:after="62" w:line="360" w:lineRule="auto"/>
        <w:ind w:left="0" w:leftChars="0" w:firstLine="480" w:firstLineChars="200"/>
        <w:rPr>
          <w:rFonts w:hint="eastAsia" w:ascii="宋体" w:hAnsi="宋体" w:eastAsia="宋体" w:cs="宋体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>5、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乙方要加强对指派的洗消人员安全意识培训，规范维保操作流程，并对维保人员的人身安全负全部责任。</w:t>
      </w:r>
    </w:p>
    <w:p w14:paraId="3E3BDF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</w:pP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  <w:t>乙方提供的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val="en-US" w:eastAsia="zh-CN"/>
        </w:rPr>
        <w:t>配件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  <w:t>质量必须符合国家及行业质量、技术及环保等相关标准，且符合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eastAsia="zh-CN"/>
        </w:rPr>
        <w:t>原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  <w:t>厂家的出厂货物质量、技术标准。</w:t>
      </w:r>
    </w:p>
    <w:p w14:paraId="39132D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eastAsia="zh-CN"/>
        </w:rPr>
      </w:pP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  <w:t>乙方提供的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eastAsia="zh-CN"/>
        </w:rPr>
        <w:t>配件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  <w:t>必须是原装全新、未使用过的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eastAsia="zh-CN"/>
        </w:rPr>
        <w:t>，且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  <w:t>在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eastAsia="zh-CN"/>
        </w:rPr>
        <w:t>中华人民共和国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  <w:t>检验合格并准许在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eastAsia="zh-CN"/>
        </w:rPr>
        <w:t>国内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  <w:t>使用的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  <w:t>不得以假充真、以次充好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eastAsia="zh-CN"/>
        </w:rPr>
        <w:t>。</w:t>
      </w:r>
    </w:p>
    <w:p w14:paraId="7A6EF4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</w:pP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  <w:t>未经甲方书面同意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  <w:t>乙方不得变更甲方确定的合同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eastAsia="zh-CN"/>
        </w:rPr>
        <w:t>配件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  <w:t>的设计、材料、工艺标准、产地。乙方保证货物没有原料和制造工艺等缺陷，符合质量和技术标准、要求。</w:t>
      </w:r>
    </w:p>
    <w:p w14:paraId="03EBE2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</w:pP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="Times New Roman" w:hAnsi="Times New Roman" w:eastAsia="宋体" w:cs="宋体"/>
          <w:color w:val="000000"/>
          <w:sz w:val="24"/>
          <w:szCs w:val="24"/>
          <w:highlight w:val="none"/>
          <w:u w:val="none"/>
        </w:rPr>
        <w:t>、乙方保证提供给甲方的货物有合法的无瑕疵的所有权（包括但不限于货物涉及的专利）。</w:t>
      </w:r>
    </w:p>
    <w:p w14:paraId="2731EB0B">
      <w:pPr>
        <w:spacing w:line="360" w:lineRule="auto"/>
        <w:ind w:left="0" w:leftChars="0" w:firstLine="480" w:firstLineChars="200"/>
        <w:rPr>
          <w:rFonts w:hint="eastAsia" w:ascii="Times New Roman" w:hAnsi="Times New Roman" w:eastAsia="宋体" w:cs="宋体"/>
          <w:color w:val="000000"/>
          <w:sz w:val="24"/>
          <w:highlight w:val="none"/>
          <w:u w:val="none"/>
          <w:lang w:bidi="ar-SA"/>
        </w:rPr>
      </w:pP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u w:val="none"/>
          <w:shd w:val="clear"/>
          <w:lang w:val="en-US" w:eastAsia="zh-CN" w:bidi="ar-SA"/>
        </w:rPr>
        <w:t>10、乙方的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u w:val="none"/>
          <w:shd w:val="clear"/>
          <w:lang w:bidi="ar-SA"/>
        </w:rPr>
        <w:t>维修工艺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u w:val="none"/>
          <w:shd w:val="clear"/>
          <w:lang w:eastAsia="zh-CN" w:bidi="ar-SA"/>
        </w:rPr>
        <w:t>应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u w:val="none"/>
          <w:shd w:val="clear"/>
          <w:lang w:bidi="ar-SA"/>
        </w:rPr>
        <w:t>符合国家行业标准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u w:val="none"/>
          <w:shd w:val="clear"/>
          <w:lang w:eastAsia="zh-CN" w:bidi="ar-SA"/>
        </w:rPr>
        <w:t>并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u w:val="none"/>
          <w:shd w:val="clear"/>
          <w:lang w:val="en-US" w:eastAsia="zh-CN" w:bidi="ar-SA"/>
        </w:rPr>
        <w:t>保证供电正常，设备正常运转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u w:val="none"/>
          <w:shd w:val="clear"/>
          <w:lang w:bidi="ar-SA"/>
        </w:rPr>
        <w:t>。</w:t>
      </w:r>
    </w:p>
    <w:p w14:paraId="3A8682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u w:val="none"/>
          <w:shd w:val="clear"/>
          <w:lang w:val="en-US" w:eastAsia="zh-CN"/>
        </w:rPr>
        <w:t>11、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u w:val="none"/>
          <w:shd w:val="clear"/>
          <w:lang w:eastAsia="zh-CN"/>
        </w:rPr>
        <w:t>甲方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u w:val="none"/>
          <w:shd w:val="clear"/>
        </w:rPr>
        <w:t>提供设备故障信息及现场协助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u w:val="none"/>
          <w:shd w:val="clear"/>
          <w:lang w:eastAsia="zh-CN"/>
        </w:rPr>
        <w:t>，乙方应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u w:val="none"/>
          <w:shd w:val="clear"/>
        </w:rPr>
        <w:t>按约定时间完成维修，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u w:val="none"/>
          <w:shd w:val="clear"/>
          <w:lang w:eastAsia="zh-CN"/>
        </w:rPr>
        <w:t>并保证维修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u w:val="none"/>
          <w:shd w:val="clear"/>
        </w:rPr>
        <w:t>质量。</w:t>
      </w:r>
    </w:p>
    <w:p w14:paraId="0430CE0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82" w:firstLineChars="200"/>
        <w:jc w:val="left"/>
        <w:textAlignment w:val="auto"/>
        <w:rPr>
          <w:rStyle w:val="6"/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二</w:t>
      </w:r>
      <w:r>
        <w:rPr>
          <w:rStyle w:val="6"/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eastAsia="zh-CN"/>
        </w:rPr>
        <w:t>、违约责任</w:t>
      </w:r>
    </w:p>
    <w:p w14:paraId="33FA372C">
      <w:pPr>
        <w:pStyle w:val="8"/>
        <w:spacing w:line="360" w:lineRule="auto"/>
        <w:ind w:left="0" w:leftChars="0" w:firstLine="480" w:firstLineChars="200"/>
        <w:rPr>
          <w:rFonts w:ascii="宋体" w:hAnsi="宋体" w:eastAsia="宋体" w:cs="宋体"/>
          <w:color w:val="000000"/>
          <w:kern w:val="2"/>
          <w:sz w:val="24"/>
          <w:szCs w:val="24"/>
          <w:highlight w:val="none"/>
          <w:lang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highlight w:val="none"/>
          <w:lang w:val="en-US" w:eastAsia="zh-CN" w:bidi="ar-SA"/>
        </w:rPr>
        <w:t>1、因乙方原因导致逾期完成维保的，乙方应向甲方支付违约金人民币600元/日。</w:t>
      </w:r>
    </w:p>
    <w:p w14:paraId="1C3446FA">
      <w:pPr>
        <w:pStyle w:val="8"/>
        <w:numPr>
          <w:ilvl w:val="-1"/>
          <w:numId w:val="0"/>
        </w:numPr>
        <w:spacing w:beforeAutospacing="0" w:afterAutospacing="0" w:line="360" w:lineRule="auto"/>
        <w:ind w:left="0"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highlight w:val="none"/>
          <w:lang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highlight w:val="none"/>
          <w:lang w:val="en-US" w:eastAsia="zh-CN" w:bidi="ar-SA"/>
        </w:rPr>
        <w:t>2、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highlight w:val="none"/>
          <w:lang w:eastAsia="zh-CN" w:bidi="ar-SA"/>
        </w:rPr>
        <w:t>如乙方在履约期间因维保质量问题，收到甲方使用科室投诉，投诉1次视为警告，投诉2次视为严重警告，投诉3次则甲方有权单方面解除合同，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</w:rPr>
        <w:t>且每投诉一次乙方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highlight w:val="none"/>
          <w:lang w:eastAsia="zh-CN" w:bidi="ar-SA"/>
        </w:rPr>
        <w:t>应向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</w:rPr>
        <w:t>甲方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highlight w:val="none"/>
          <w:lang w:eastAsia="zh-CN" w:bidi="ar-SA"/>
        </w:rPr>
        <w:t>支付违约金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</w:rPr>
        <w:t>人民币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highlight w:val="none"/>
          <w:lang w:eastAsia="zh-CN" w:bidi="ar-SA"/>
        </w:rPr>
        <w:t>600元。</w:t>
      </w:r>
    </w:p>
    <w:p w14:paraId="27B0A906">
      <w:pPr>
        <w:pStyle w:val="7"/>
        <w:numPr>
          <w:ilvl w:val="-1"/>
          <w:numId w:val="0"/>
        </w:numPr>
        <w:spacing w:after="62" w:line="360" w:lineRule="auto"/>
        <w:ind w:left="0" w:firstLine="480" w:firstLineChars="200"/>
        <w:rPr>
          <w:rFonts w:hint="eastAsia" w:ascii="宋体" w:hAnsi="宋体" w:eastAsia="宋体" w:cs="宋体"/>
          <w:color w:val="000000"/>
          <w:kern w:val="2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color w:val="000000"/>
          <w:kern w:val="2"/>
          <w:sz w:val="24"/>
          <w:highlight w:val="none"/>
        </w:rPr>
        <w:t>一般锅炉故障，在不需要更换配件的情况下：乙方应在12小时内处理完毕，超出以上相应时间，处以违约金</w:t>
      </w:r>
      <w:r>
        <w:rPr>
          <w:rFonts w:hint="eastAsia" w:ascii="宋体" w:hAnsi="宋体" w:eastAsia="宋体" w:cs="宋体"/>
          <w:color w:val="000000"/>
          <w:kern w:val="2"/>
          <w:sz w:val="24"/>
          <w:highlight w:val="none"/>
          <w:lang w:val="en-US" w:eastAsia="zh-CN"/>
        </w:rPr>
        <w:t>人民币6</w:t>
      </w:r>
      <w:r>
        <w:rPr>
          <w:rFonts w:hint="eastAsia" w:ascii="宋体" w:hAnsi="宋体" w:eastAsia="宋体" w:cs="宋体"/>
          <w:color w:val="000000"/>
          <w:kern w:val="2"/>
          <w:sz w:val="24"/>
          <w:highlight w:val="none"/>
        </w:rPr>
        <w:t>00元/天。</w:t>
      </w:r>
    </w:p>
    <w:p w14:paraId="43ECCC90">
      <w:pPr>
        <w:pStyle w:val="7"/>
        <w:numPr>
          <w:ilvl w:val="-1"/>
          <w:numId w:val="0"/>
        </w:numPr>
        <w:spacing w:beforeAutospacing="0" w:after="62" w:afterAutospacing="0" w:line="360" w:lineRule="auto"/>
        <w:ind w:left="0"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highlight w:val="none"/>
          <w:lang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color w:val="000000"/>
          <w:kern w:val="2"/>
          <w:sz w:val="24"/>
          <w:highlight w:val="none"/>
        </w:rPr>
        <w:t>若需更换配件：乙方必须在5天内更换完毕，超出以上响应时间，处以违约金</w:t>
      </w:r>
      <w:r>
        <w:rPr>
          <w:rFonts w:hint="eastAsia" w:ascii="宋体" w:hAnsi="宋体" w:eastAsia="宋体" w:cs="宋体"/>
          <w:color w:val="000000"/>
          <w:kern w:val="2"/>
          <w:sz w:val="24"/>
          <w:highlight w:val="none"/>
          <w:lang w:val="en-US" w:eastAsia="zh-CN"/>
        </w:rPr>
        <w:t>人民币6</w:t>
      </w:r>
      <w:r>
        <w:rPr>
          <w:rFonts w:hint="eastAsia" w:ascii="宋体" w:hAnsi="宋体" w:eastAsia="宋体" w:cs="宋体"/>
          <w:color w:val="000000"/>
          <w:kern w:val="2"/>
          <w:sz w:val="24"/>
          <w:highlight w:val="none"/>
        </w:rPr>
        <w:t>00元/天。由于维修不当或不及时（不可抗力因素除外，如：火灾、地震等）所造成的一切费用损失均由乙方承担。</w:t>
      </w:r>
    </w:p>
    <w:p w14:paraId="641AE610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leftChars="0" w:right="0" w:firstLine="480" w:firstLineChars="200"/>
        <w:jc w:val="left"/>
        <w:rPr>
          <w:rFonts w:hint="eastAsia" w:ascii="宋体" w:hAnsi="宋体" w:eastAsia="宋体" w:cs="宋体"/>
          <w:color w:val="000000"/>
          <w:kern w:val="2"/>
          <w:sz w:val="24"/>
          <w:szCs w:val="24"/>
          <w:highlight w:val="none"/>
          <w:lang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2"/>
          <w:sz w:val="24"/>
          <w:szCs w:val="24"/>
          <w:highlight w:val="none"/>
          <w:shd w:val="clear"/>
          <w:lang w:val="en-US" w:eastAsia="zh-CN" w:bidi="ar-SA"/>
        </w:rPr>
        <w:t>5、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2"/>
          <w:sz w:val="24"/>
          <w:szCs w:val="24"/>
          <w:highlight w:val="none"/>
          <w:shd w:val="clear"/>
          <w:lang w:bidi="ar-SA"/>
        </w:rPr>
        <w:t>验收不合格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2"/>
          <w:sz w:val="24"/>
          <w:szCs w:val="24"/>
          <w:highlight w:val="none"/>
          <w:shd w:val="clear"/>
          <w:lang w:val="en-US" w:eastAsia="zh-CN" w:bidi="ar-SA"/>
        </w:rPr>
        <w:t>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2"/>
          <w:sz w:val="24"/>
          <w:szCs w:val="24"/>
          <w:highlight w:val="none"/>
          <w:shd w:val="clear"/>
          <w:lang w:bidi="ar-SA"/>
        </w:rPr>
        <w:t>乙方须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2"/>
          <w:sz w:val="24"/>
          <w:szCs w:val="24"/>
          <w:highlight w:val="none"/>
          <w:shd w:val="clear"/>
          <w:lang w:val="en-US" w:eastAsia="zh-CN" w:bidi="ar-SA"/>
        </w:rPr>
        <w:t>立即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2"/>
          <w:sz w:val="24"/>
          <w:szCs w:val="24"/>
          <w:highlight w:val="none"/>
          <w:shd w:val="clear"/>
          <w:lang w:bidi="ar-SA"/>
        </w:rPr>
        <w:t>返修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2"/>
          <w:sz w:val="24"/>
          <w:szCs w:val="24"/>
          <w:highlight w:val="none"/>
          <w:shd w:val="clear"/>
          <w:lang w:eastAsia="zh-CN" w:bidi="ar-SA"/>
        </w:rPr>
        <w:t>直至验收合格。</w:t>
      </w:r>
    </w:p>
    <w:p w14:paraId="1BE259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360" w:lineRule="auto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6、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乙方必须严格按照安全操作规程进行操作，做好现场安全防护和保护措施，保证施工人员和第三方的人身财产安全。对因施工和防护不当造成的安全事故由乙方负责。同时乙方必须保证过往人员、车辆的通行和安全，为此所产生的费用，由乙方承担。若发生安全事故及人身损害、财产损失的由乙方承担全部责任，给甲方造成损失的，乙方应赔偿甲方因此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产生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的全部损失，同时由相关部门依据法律、法规追究责任。</w:t>
      </w:r>
    </w:p>
    <w:p w14:paraId="642AA115">
      <w:pPr>
        <w:widowControl w:val="0"/>
        <w:numPr>
          <w:ilvl w:val="0"/>
          <w:numId w:val="0"/>
        </w:numPr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7、</w:t>
      </w:r>
      <w:r>
        <w:rPr>
          <w:rFonts w:hint="eastAsia" w:ascii="宋体" w:hAnsi="宋体" w:eastAsia="宋体" w:cs="宋体"/>
          <w:bCs w:val="0"/>
          <w:color w:val="000000"/>
          <w:sz w:val="24"/>
          <w:szCs w:val="24"/>
          <w:highlight w:val="none"/>
        </w:rPr>
        <w:t>乙方必须做到安全施工，文明施工，垃圾随手清理不过夜。乙方应遵守甲方场地管理的有关规定。如有酗酒、抽烟、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打架斗殴、赌博、偷盗或故意破坏物品的行为，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一经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发现并经证实的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，乙方应支付违约金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人民币1500元/次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，当事人清除出场，情节严重者可由甲方报</w:t>
      </w:r>
      <w:r>
        <w:rPr>
          <w:rFonts w:hint="eastAsia" w:ascii="宋体" w:hAnsi="宋体" w:eastAsia="宋体" w:cs="宋体"/>
          <w:bCs w:val="0"/>
          <w:color w:val="000000"/>
          <w:sz w:val="24"/>
          <w:szCs w:val="24"/>
          <w:highlight w:val="none"/>
        </w:rPr>
        <w:t>送司法机构查办，由此产生的后果由乙方自行承担。</w:t>
      </w:r>
    </w:p>
    <w:p w14:paraId="022D0F4A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highlight w:val="none"/>
          <w:lang w:val="en-US" w:eastAsia="zh-CN" w:bidi="ar-SA"/>
        </w:rPr>
        <w:t>8、除合同另有约定外，如甲方发现乙方提供的服务不符合合同约定，乙方应向甲方支付违约金人民币600元/次。</w:t>
      </w:r>
    </w:p>
    <w:p w14:paraId="54103B4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 w:bidi="ar-SA"/>
        </w:rPr>
        <w:t>9、因乙方原因造成本合同无法按时签订，视为乙方违约，乙方违约对甲方造成损失的，乙方应支付相应的赔偿。在签订本合同之后，乙方不能履约、不履约的，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甲方有权单方面解除合同。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 w:bidi="ar-SA"/>
        </w:rPr>
        <w:t xml:space="preserve"> </w:t>
      </w:r>
    </w:p>
    <w:p w14:paraId="665A1AC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 w:bidi="ar-SA"/>
        </w:rPr>
        <w:t>10、如乙方因履行或未履行（无论是否存在过失）合同导致甲方、乙方或任何第三方人员伤亡、财产发生毁损或灭失，乙方应承担全部责任，并应确保甲方免于所有相关的索赔、损失、损害、费用和责任，且甲方有权单方面解除合同。</w:t>
      </w:r>
    </w:p>
    <w:p w14:paraId="19BB5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11、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乙方承担因违法、违规、违约等行为引起的全部经济责任和法律责任，且甲方有权要求乙方赔偿由此受到的全部损失（包括但不限于主张权利所支付的诉讼费、诉讼保全费、律师费、差旅费等费用）。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在明确违约责任后，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乙方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应在接到书面通知书起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7日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内支付违约金、赔偿金等。如未能在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日内结清，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甲方有权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从应付未付的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维保费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中直接扣除，如从应付未付的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维保费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不足，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甲方有权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从履约保证金中扣除。再有不足部分，由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乙方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在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收到甲方通知后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5个工作日内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支付不足部分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。本合同约定的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甲方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损失范围包括但不限于律师费、公告费、保全费、保函费、鉴定费、评估费、差旅费等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甲方</w:t>
      </w:r>
      <w:r>
        <w:rPr>
          <w:rFonts w:asciiTheme="minorEastAsia" w:hAnsiTheme="minorEastAsia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因维护自身权益而产生的全部费用。</w:t>
      </w:r>
    </w:p>
    <w:p w14:paraId="258C62F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82" w:firstLineChars="200"/>
        <w:jc w:val="left"/>
        <w:textAlignment w:val="auto"/>
        <w:rPr>
          <w:rFonts w:hint="default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三、报价与付款条件</w:t>
      </w:r>
    </w:p>
    <w:p w14:paraId="3265D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highlight w:val="none"/>
          <w:lang w:val="en-US" w:eastAsia="zh-CN" w:bidi="ar-SA"/>
        </w:rPr>
        <w:t>报价</w:t>
      </w:r>
      <w:r>
        <w:rPr>
          <w:rFonts w:hint="eastAsia" w:ascii="宋体" w:hAnsi="宋体" w:eastAsia="宋体" w:cs="宋体"/>
          <w:sz w:val="24"/>
          <w:highlight w:val="none"/>
        </w:rPr>
        <w:t>包含履行本项目约定的服务可能产生的所有费用，包括但不限于货物材料、人工、制作、安装、包装、装卸、运输、售后服务、利润、仓库保管、货物检验检测、税费等全部费用，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甲方</w:t>
      </w:r>
      <w:r>
        <w:rPr>
          <w:rFonts w:hint="eastAsia" w:ascii="宋体" w:hAnsi="宋体" w:eastAsia="宋体" w:cs="宋体"/>
          <w:sz w:val="24"/>
          <w:highlight w:val="none"/>
        </w:rPr>
        <w:t>不向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乙方</w:t>
      </w:r>
      <w:r>
        <w:rPr>
          <w:rFonts w:hint="eastAsia" w:ascii="宋体" w:hAnsi="宋体" w:eastAsia="宋体" w:cs="宋体"/>
          <w:sz w:val="24"/>
          <w:highlight w:val="none"/>
        </w:rPr>
        <w:t>支付任何其他费用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highlight w:val="none"/>
          <w:lang w:val="en-US" w:eastAsia="zh-CN" w:bidi="ar-SA"/>
        </w:rPr>
        <w:t>。</w:t>
      </w:r>
      <w:r>
        <w:rPr>
          <w:rFonts w:hint="eastAsia" w:ascii="宋体" w:hAnsi="宋体" w:eastAsia="宋体" w:cs="宋体"/>
          <w:sz w:val="24"/>
          <w:highlight w:val="none"/>
          <w:u w:val="none"/>
        </w:rPr>
        <w:t>本项目维保费每半年结算一次（据实结算），每次付款前乙方均应提供齐全的付款资料，包括但不限于相应的月维修保养报告、检验报告、服务明细等，</w:t>
      </w:r>
      <w:r>
        <w:rPr>
          <w:rFonts w:hint="eastAsia" w:ascii="宋体" w:hAnsi="宋体" w:eastAsia="宋体" w:cs="宋体"/>
          <w:bCs w:val="0"/>
          <w:sz w:val="24"/>
          <w:szCs w:val="24"/>
          <w:highlight w:val="none"/>
          <w:u w:val="none"/>
        </w:rPr>
        <w:t>经科室确认后，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开具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>结算金额等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额的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合法增值税普通发票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宋体" w:cs="宋体"/>
          <w:color w:val="000000"/>
          <w:sz w:val="24"/>
          <w:highlight w:val="none"/>
          <w:u w:val="none"/>
        </w:rPr>
        <w:t>甲方核对无误后60日内通过银行转账方式支付至乙方指定账户。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3152"/>
        <w:gridCol w:w="1325"/>
        <w:gridCol w:w="1122"/>
        <w:gridCol w:w="1092"/>
        <w:gridCol w:w="1324"/>
      </w:tblGrid>
      <w:tr w14:paraId="18CF4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tblHeader/>
        </w:trPr>
        <w:tc>
          <w:tcPr>
            <w:tcW w:w="507" w:type="dxa"/>
            <w:noWrap/>
            <w:vAlign w:val="center"/>
          </w:tcPr>
          <w:p w14:paraId="2E37E7C1">
            <w:pPr>
              <w:widowControl/>
              <w:spacing w:before="62" w:beforeLines="20" w:after="62" w:line="24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序号</w:t>
            </w:r>
          </w:p>
        </w:tc>
        <w:tc>
          <w:tcPr>
            <w:tcW w:w="3152" w:type="dxa"/>
            <w:noWrap/>
            <w:vAlign w:val="center"/>
          </w:tcPr>
          <w:p w14:paraId="575E7EE6">
            <w:pPr>
              <w:widowControl/>
              <w:spacing w:before="62" w:beforeLines="20" w:after="62" w:line="240" w:lineRule="auto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项目</w:t>
            </w:r>
          </w:p>
        </w:tc>
        <w:tc>
          <w:tcPr>
            <w:tcW w:w="1325" w:type="dxa"/>
            <w:noWrap/>
            <w:vAlign w:val="center"/>
          </w:tcPr>
          <w:p w14:paraId="1D87CFC8">
            <w:pPr>
              <w:widowControl/>
              <w:spacing w:before="62" w:beforeLines="20" w:after="62" w:line="24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数量</w:t>
            </w:r>
          </w:p>
        </w:tc>
        <w:tc>
          <w:tcPr>
            <w:tcW w:w="1122" w:type="dxa"/>
            <w:noWrap/>
            <w:vAlign w:val="center"/>
          </w:tcPr>
          <w:p w14:paraId="470A72BE">
            <w:pPr>
              <w:widowControl/>
              <w:spacing w:before="62" w:beforeLines="20" w:after="62" w:line="24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单位</w:t>
            </w:r>
          </w:p>
        </w:tc>
        <w:tc>
          <w:tcPr>
            <w:tcW w:w="1092" w:type="dxa"/>
            <w:noWrap/>
            <w:vAlign w:val="center"/>
          </w:tcPr>
          <w:p w14:paraId="34C4C584">
            <w:pPr>
              <w:widowControl/>
              <w:spacing w:before="62" w:beforeLines="20" w:after="62" w:line="24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单价</w:t>
            </w:r>
          </w:p>
          <w:p w14:paraId="51AE5D48">
            <w:pPr>
              <w:widowControl/>
              <w:spacing w:before="62" w:beforeLines="20" w:after="62" w:line="24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（元）</w:t>
            </w:r>
          </w:p>
        </w:tc>
        <w:tc>
          <w:tcPr>
            <w:tcW w:w="1324" w:type="dxa"/>
            <w:noWrap/>
            <w:vAlign w:val="center"/>
          </w:tcPr>
          <w:p w14:paraId="2C17B155">
            <w:pPr>
              <w:widowControl/>
              <w:spacing w:before="62" w:beforeLines="20" w:after="62" w:line="24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  <w:t>小计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（元）</w:t>
            </w:r>
          </w:p>
        </w:tc>
      </w:tr>
      <w:tr w14:paraId="2C9CA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07" w:type="dxa"/>
            <w:noWrap/>
            <w:vAlign w:val="center"/>
          </w:tcPr>
          <w:p w14:paraId="64EF7F6C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152" w:type="dxa"/>
            <w:vAlign w:val="center"/>
          </w:tcPr>
          <w:p w14:paraId="2132E1FD">
            <w:pPr>
              <w:widowControl/>
              <w:spacing w:before="62" w:beforeLines="20" w:after="62" w:line="24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锅炉日常维保</w:t>
            </w:r>
          </w:p>
        </w:tc>
        <w:tc>
          <w:tcPr>
            <w:tcW w:w="1325" w:type="dxa"/>
            <w:noWrap/>
            <w:vAlign w:val="center"/>
          </w:tcPr>
          <w:p w14:paraId="3D2DDC00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2</w:t>
            </w:r>
          </w:p>
        </w:tc>
        <w:tc>
          <w:tcPr>
            <w:tcW w:w="1122" w:type="dxa"/>
            <w:noWrap/>
            <w:vAlign w:val="center"/>
          </w:tcPr>
          <w:p w14:paraId="3C5F238D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月</w:t>
            </w:r>
          </w:p>
        </w:tc>
        <w:tc>
          <w:tcPr>
            <w:tcW w:w="1092" w:type="dxa"/>
            <w:noWrap/>
            <w:vAlign w:val="center"/>
          </w:tcPr>
          <w:p w14:paraId="0627F2BB">
            <w:pPr>
              <w:widowControl/>
              <w:spacing w:before="62" w:beforeLines="20" w:after="62"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24" w:type="dxa"/>
            <w:noWrap/>
            <w:vAlign w:val="center"/>
          </w:tcPr>
          <w:p w14:paraId="54495D53">
            <w:pPr>
              <w:widowControl/>
              <w:spacing w:before="62" w:beforeLines="20" w:after="62"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9EB5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07" w:type="dxa"/>
            <w:noWrap/>
            <w:vAlign w:val="center"/>
          </w:tcPr>
          <w:p w14:paraId="5CC8BE7D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3152" w:type="dxa"/>
            <w:vAlign w:val="center"/>
          </w:tcPr>
          <w:p w14:paraId="59E38540">
            <w:pPr>
              <w:widowControl/>
              <w:spacing w:before="62" w:beforeLines="20" w:after="62" w:line="24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锅炉内检</w:t>
            </w:r>
          </w:p>
        </w:tc>
        <w:tc>
          <w:tcPr>
            <w:tcW w:w="1325" w:type="dxa"/>
            <w:noWrap/>
            <w:vAlign w:val="center"/>
          </w:tcPr>
          <w:p w14:paraId="175EEA3F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2</w:t>
            </w:r>
          </w:p>
        </w:tc>
        <w:tc>
          <w:tcPr>
            <w:tcW w:w="1122" w:type="dxa"/>
            <w:noWrap/>
            <w:vAlign w:val="center"/>
          </w:tcPr>
          <w:p w14:paraId="7009AA71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次</w:t>
            </w:r>
          </w:p>
        </w:tc>
        <w:tc>
          <w:tcPr>
            <w:tcW w:w="1092" w:type="dxa"/>
            <w:noWrap/>
            <w:vAlign w:val="center"/>
          </w:tcPr>
          <w:p w14:paraId="0C014D95">
            <w:pPr>
              <w:widowControl/>
              <w:spacing w:before="62" w:beforeLines="20" w:after="62"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24" w:type="dxa"/>
            <w:noWrap/>
            <w:vAlign w:val="center"/>
          </w:tcPr>
          <w:p w14:paraId="5E44E9C2">
            <w:pPr>
              <w:widowControl/>
              <w:spacing w:before="62" w:beforeLines="20" w:after="62"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1EC34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07" w:type="dxa"/>
            <w:noWrap/>
            <w:vAlign w:val="center"/>
          </w:tcPr>
          <w:p w14:paraId="46598896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3152" w:type="dxa"/>
            <w:vAlign w:val="center"/>
          </w:tcPr>
          <w:p w14:paraId="127EBE30">
            <w:pPr>
              <w:widowControl/>
              <w:spacing w:before="62" w:beforeLines="20" w:after="62" w:line="24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锅炉外检水质及安全联锁</w:t>
            </w:r>
          </w:p>
        </w:tc>
        <w:tc>
          <w:tcPr>
            <w:tcW w:w="1325" w:type="dxa"/>
            <w:noWrap/>
            <w:vAlign w:val="center"/>
          </w:tcPr>
          <w:p w14:paraId="5845266F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22" w:type="dxa"/>
            <w:noWrap/>
            <w:vAlign w:val="center"/>
          </w:tcPr>
          <w:p w14:paraId="48D1825D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次</w:t>
            </w:r>
          </w:p>
        </w:tc>
        <w:tc>
          <w:tcPr>
            <w:tcW w:w="1092" w:type="dxa"/>
            <w:noWrap/>
            <w:vAlign w:val="center"/>
          </w:tcPr>
          <w:p w14:paraId="2F2B13EF">
            <w:pPr>
              <w:widowControl/>
              <w:spacing w:before="62" w:beforeLines="20" w:after="62"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/>
              </w:rPr>
            </w:pPr>
          </w:p>
        </w:tc>
        <w:tc>
          <w:tcPr>
            <w:tcW w:w="1324" w:type="dxa"/>
            <w:noWrap/>
            <w:vAlign w:val="center"/>
          </w:tcPr>
          <w:p w14:paraId="0AAB6794">
            <w:pPr>
              <w:widowControl/>
              <w:spacing w:before="62" w:beforeLines="20" w:after="62"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7183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07" w:type="dxa"/>
            <w:noWrap/>
            <w:vAlign w:val="center"/>
          </w:tcPr>
          <w:p w14:paraId="1CD54269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3152" w:type="dxa"/>
            <w:vAlign w:val="center"/>
          </w:tcPr>
          <w:p w14:paraId="57FF2540">
            <w:pPr>
              <w:widowControl/>
              <w:spacing w:before="62" w:beforeLines="20" w:after="62" w:line="24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安全阀校验</w:t>
            </w:r>
          </w:p>
        </w:tc>
        <w:tc>
          <w:tcPr>
            <w:tcW w:w="1325" w:type="dxa"/>
            <w:noWrap/>
            <w:vAlign w:val="center"/>
          </w:tcPr>
          <w:p w14:paraId="60977C14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122" w:type="dxa"/>
            <w:noWrap/>
            <w:vAlign w:val="center"/>
          </w:tcPr>
          <w:p w14:paraId="6D3AC165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092" w:type="dxa"/>
            <w:noWrap/>
            <w:vAlign w:val="center"/>
          </w:tcPr>
          <w:p w14:paraId="062533C6">
            <w:pPr>
              <w:widowControl/>
              <w:spacing w:before="62" w:beforeLines="20" w:after="62"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24" w:type="dxa"/>
            <w:noWrap/>
            <w:vAlign w:val="center"/>
          </w:tcPr>
          <w:p w14:paraId="219ED84A">
            <w:pPr>
              <w:widowControl/>
              <w:spacing w:before="62" w:beforeLines="20" w:after="62"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CF4F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07" w:type="dxa"/>
            <w:noWrap/>
            <w:vAlign w:val="center"/>
          </w:tcPr>
          <w:p w14:paraId="015CA612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3152" w:type="dxa"/>
            <w:vAlign w:val="center"/>
          </w:tcPr>
          <w:p w14:paraId="3B1C0689">
            <w:pPr>
              <w:widowControl/>
              <w:spacing w:before="62" w:beforeLines="20" w:after="62" w:line="24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第三方压力表校验</w:t>
            </w:r>
          </w:p>
        </w:tc>
        <w:tc>
          <w:tcPr>
            <w:tcW w:w="1325" w:type="dxa"/>
            <w:noWrap/>
            <w:vAlign w:val="center"/>
          </w:tcPr>
          <w:p w14:paraId="206C7198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122" w:type="dxa"/>
            <w:noWrap/>
            <w:vAlign w:val="center"/>
          </w:tcPr>
          <w:p w14:paraId="60FB9AE7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次</w:t>
            </w:r>
          </w:p>
        </w:tc>
        <w:tc>
          <w:tcPr>
            <w:tcW w:w="1092" w:type="dxa"/>
            <w:noWrap/>
            <w:vAlign w:val="center"/>
          </w:tcPr>
          <w:p w14:paraId="466BC3B8">
            <w:pPr>
              <w:widowControl/>
              <w:spacing w:before="62" w:beforeLines="20" w:after="62"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24" w:type="dxa"/>
            <w:noWrap/>
            <w:vAlign w:val="center"/>
          </w:tcPr>
          <w:p w14:paraId="3074FD0C">
            <w:pPr>
              <w:widowControl/>
              <w:spacing w:before="62" w:beforeLines="20" w:after="62"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08F1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07" w:type="dxa"/>
            <w:noWrap/>
            <w:vAlign w:val="center"/>
          </w:tcPr>
          <w:p w14:paraId="277D0BA3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3152" w:type="dxa"/>
            <w:vAlign w:val="center"/>
          </w:tcPr>
          <w:p w14:paraId="56A9A9B0">
            <w:pPr>
              <w:widowControl/>
              <w:spacing w:before="62" w:beforeLines="20" w:after="62" w:line="24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锅炉年检（含年检耗材）</w:t>
            </w:r>
          </w:p>
        </w:tc>
        <w:tc>
          <w:tcPr>
            <w:tcW w:w="1325" w:type="dxa"/>
            <w:noWrap/>
            <w:vAlign w:val="center"/>
          </w:tcPr>
          <w:p w14:paraId="17C61A79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22" w:type="dxa"/>
            <w:noWrap/>
            <w:vAlign w:val="center"/>
          </w:tcPr>
          <w:p w14:paraId="6AD7C22D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项</w:t>
            </w:r>
          </w:p>
        </w:tc>
        <w:tc>
          <w:tcPr>
            <w:tcW w:w="1092" w:type="dxa"/>
            <w:noWrap/>
            <w:vAlign w:val="center"/>
          </w:tcPr>
          <w:p w14:paraId="5F8503D3">
            <w:pPr>
              <w:widowControl/>
              <w:spacing w:before="62" w:beforeLines="20" w:after="62"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24" w:type="dxa"/>
            <w:noWrap/>
            <w:vAlign w:val="center"/>
          </w:tcPr>
          <w:p w14:paraId="3FF6DCC0">
            <w:pPr>
              <w:widowControl/>
              <w:spacing w:before="62" w:beforeLines="20" w:after="62"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07730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07" w:type="dxa"/>
            <w:noWrap/>
            <w:vAlign w:val="center"/>
          </w:tcPr>
          <w:p w14:paraId="351AD170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3152" w:type="dxa"/>
            <w:vAlign w:val="center"/>
          </w:tcPr>
          <w:p w14:paraId="49332A4F">
            <w:pPr>
              <w:widowControl/>
              <w:spacing w:before="62" w:beforeLines="20" w:after="62" w:line="24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锅炉水质化验</w:t>
            </w:r>
          </w:p>
        </w:tc>
        <w:tc>
          <w:tcPr>
            <w:tcW w:w="1325" w:type="dxa"/>
            <w:noWrap/>
            <w:vAlign w:val="center"/>
          </w:tcPr>
          <w:p w14:paraId="00F6022B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12</w:t>
            </w:r>
          </w:p>
        </w:tc>
        <w:tc>
          <w:tcPr>
            <w:tcW w:w="1122" w:type="dxa"/>
            <w:noWrap/>
            <w:vAlign w:val="center"/>
          </w:tcPr>
          <w:p w14:paraId="7B606131">
            <w:pPr>
              <w:widowControl/>
              <w:spacing w:before="62" w:beforeLines="20" w:after="62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</w:rPr>
              <w:t>月</w:t>
            </w:r>
          </w:p>
        </w:tc>
        <w:tc>
          <w:tcPr>
            <w:tcW w:w="1092" w:type="dxa"/>
            <w:noWrap/>
            <w:vAlign w:val="center"/>
          </w:tcPr>
          <w:p w14:paraId="28629AF6">
            <w:pPr>
              <w:widowControl/>
              <w:spacing w:before="62" w:beforeLines="20" w:after="62"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24" w:type="dxa"/>
            <w:noWrap/>
            <w:vAlign w:val="center"/>
          </w:tcPr>
          <w:p w14:paraId="46318882">
            <w:pPr>
              <w:widowControl/>
              <w:spacing w:before="62" w:beforeLines="20" w:after="62"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297CF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198" w:type="dxa"/>
            <w:gridSpan w:val="5"/>
            <w:noWrap/>
            <w:vAlign w:val="center"/>
          </w:tcPr>
          <w:p w14:paraId="46417040">
            <w:pPr>
              <w:widowControl/>
              <w:spacing w:before="62" w:beforeLines="20" w:after="62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合计</w:t>
            </w:r>
          </w:p>
        </w:tc>
        <w:tc>
          <w:tcPr>
            <w:tcW w:w="1324" w:type="dxa"/>
            <w:noWrap/>
            <w:vAlign w:val="center"/>
          </w:tcPr>
          <w:p w14:paraId="3E673837">
            <w:pPr>
              <w:widowControl/>
              <w:spacing w:before="62" w:beforeLines="20" w:after="62"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</w:tbl>
    <w:p w14:paraId="0EB80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</w:rPr>
        <w:t>四、廉洁购销条款</w:t>
      </w:r>
    </w:p>
    <w:p w14:paraId="61109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乙方承诺与甲方共同建立和维护规范与廉洁的购销环境，承诺不得违反所有与反腐败有关的法律、法规、规章、甲方制度和要求。</w:t>
      </w:r>
    </w:p>
    <w:p w14:paraId="29032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乙方及其工作人员违反本合同附件《廉洁购销协议》约定，存在行贿行为的，甲方有权在一定期限内将乙方列入行贿人“黑名单”，作为乙方参加甲方招标采购活动的限制条件；在本合同有效期内，经甲方确认乙方及其工作人员因本合同（包括但不限于采购阶段、合同签约、履行期间）被列入甲方行贿人“黑名单”的，甲方有权单方面解除合同，有权不予退还履约保证金，有权中止支付未付款项，且甲方有权要求乙方赔偿甲方因此产生的损失（包括但不限于主张权利所支付的诉讼费、诉讼保全费、律师费、差旅费、直接经济损失等费用），如乙方拒不赔偿的，则甲方有权从相关款项中直接扣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F1C40"/>
    <w:rsid w:val="0CD90868"/>
    <w:rsid w:val="1760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autoRedefine/>
    <w:qFormat/>
    <w:uiPriority w:val="34"/>
    <w:pPr>
      <w:ind w:left="720"/>
      <w:contextualSpacing/>
    </w:pPr>
  </w:style>
  <w:style w:type="paragraph" w:customStyle="1" w:styleId="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2937</Words>
  <Characters>3006</Characters>
  <Lines>0</Lines>
  <Paragraphs>0</Paragraphs>
  <TotalTime>1</TotalTime>
  <ScaleCrop>false</ScaleCrop>
  <LinksUpToDate>false</LinksUpToDate>
  <CharactersWithSpaces>3153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2026-08-24T02:22:00Z</dcterms:created>
  <dc:creator>FYUSER</dc:creator>
  <cp:lastModifiedBy>杨新辉</cp:lastModifiedBy>
  <dcterms:modified xsi:type="dcterms:W3CDTF">2026-08-26T06:36:07Z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eyJoZGlkIjoiYWNjMWIxZjhkZmYzYjJjNTVlOTBkYWY1ODc1OGRmYjAiLCJ1c2VySWQiOiIxNzAwNzIyNjUyIn0=</vt:lpwstr>
  </property>
  <property fmtid="{D5CDD505-2E9C-101B-9397-08002B2CF9AE}" pid="4" name="ICV">
    <vt:lpwstr>DA0771E2AA27490AB53FD0021CF3B92F_12</vt:lpwstr>
  </property>
</Properties>
</file>