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rPr>
      </w:pPr>
      <w:r>
        <w:rPr>
          <w:rFonts w:hint="eastAsia" w:ascii="宋体" w:hAnsi="宋体" w:eastAsia="宋体" w:cs="宋体"/>
        </w:rPr>
        <w:t>福建医科大学分子肿瘤研究所</w:t>
      </w:r>
    </w:p>
    <w:p>
      <w:pPr>
        <w:spacing w:line="360" w:lineRule="auto"/>
        <w:rPr>
          <w:rFonts w:hint="eastAsia" w:ascii="宋体" w:hAnsi="宋体" w:eastAsia="宋体" w:cs="宋体"/>
          <w:b/>
          <w:bCs/>
          <w:sz w:val="28"/>
          <w:szCs w:val="32"/>
        </w:rPr>
      </w:pPr>
      <w:r>
        <w:rPr>
          <w:rFonts w:hint="eastAsia" w:ascii="宋体" w:hAnsi="宋体" w:eastAsia="宋体" w:cs="宋体"/>
          <w:b/>
          <w:bCs/>
          <w:sz w:val="28"/>
          <w:szCs w:val="32"/>
        </w:rPr>
        <w:t>一、平台总体定位：</w:t>
      </w:r>
    </w:p>
    <w:p>
      <w:pPr>
        <w:spacing w:line="360" w:lineRule="auto"/>
        <w:ind w:firstLine="420" w:firstLineChars="200"/>
        <w:rPr>
          <w:rFonts w:hint="eastAsia" w:ascii="宋体" w:hAnsi="宋体" w:eastAsia="宋体" w:cs="宋体"/>
        </w:rPr>
      </w:pPr>
      <w:r>
        <w:rPr>
          <w:rFonts w:hint="eastAsia" w:ascii="宋体" w:hAnsi="宋体" w:eastAsia="宋体" w:cs="宋体"/>
        </w:rPr>
        <w:t>福建医科大学分子肿瘤研究所依托福建医科大学附属第一医院肿瘤内科，始建于2</w:t>
      </w:r>
      <w:r>
        <w:rPr>
          <w:rFonts w:hint="eastAsia" w:ascii="宋体" w:hAnsi="宋体" w:eastAsia="宋体" w:cs="宋体"/>
        </w:rPr>
        <w:t>001</w:t>
      </w:r>
      <w:r>
        <w:rPr>
          <w:rFonts w:hint="eastAsia" w:ascii="宋体" w:hAnsi="宋体" w:eastAsia="宋体" w:cs="宋体"/>
        </w:rPr>
        <w:t>年，是福建医科大学重点建设的“产学研”一体化基地。研究所充分贯彻落实福建医科大学</w:t>
      </w:r>
      <w:r>
        <w:rPr>
          <w:rFonts w:hint="eastAsia" w:ascii="宋体" w:hAnsi="宋体" w:eastAsia="宋体" w:cs="宋体"/>
          <w:lang w:eastAsia="zh-CN"/>
        </w:rPr>
        <w:t>“</w:t>
      </w:r>
      <w:r>
        <w:rPr>
          <w:rFonts w:hint="eastAsia" w:ascii="宋体" w:hAnsi="宋体" w:eastAsia="宋体" w:cs="宋体"/>
        </w:rPr>
        <w:t>以人为本、求是至臻</w:t>
      </w:r>
      <w:r>
        <w:rPr>
          <w:rFonts w:hint="eastAsia" w:ascii="宋体" w:hAnsi="宋体" w:eastAsia="宋体" w:cs="宋体"/>
          <w:lang w:val="en-US" w:eastAsia="zh-CN"/>
        </w:rPr>
        <w:t>”</w:t>
      </w:r>
      <w:r>
        <w:rPr>
          <w:rFonts w:hint="eastAsia" w:ascii="宋体" w:hAnsi="宋体" w:eastAsia="宋体" w:cs="宋体"/>
        </w:rPr>
        <w:t>的办学理念和“自强不息、追求卓越”的学校精神，形成以临床立科，以科研强科，临床科研齐头共赢新格局，构建高水平、高质量、科研强、创新高的科学研究平台。</w:t>
      </w:r>
    </w:p>
    <w:p>
      <w:pPr>
        <w:autoSpaceDE w:val="0"/>
        <w:autoSpaceDN w:val="0"/>
        <w:adjustRightInd w:val="0"/>
        <w:spacing w:line="360" w:lineRule="auto"/>
        <w:jc w:val="left"/>
        <w:rPr>
          <w:rFonts w:hint="eastAsia" w:ascii="宋体" w:hAnsi="宋体" w:eastAsia="宋体" w:cs="宋体"/>
          <w:b/>
          <w:bCs/>
          <w:sz w:val="28"/>
          <w:szCs w:val="32"/>
        </w:rPr>
      </w:pPr>
      <w:r>
        <w:rPr>
          <w:rFonts w:hint="eastAsia" w:ascii="宋体" w:hAnsi="宋体" w:eastAsia="宋体" w:cs="宋体"/>
          <w:b/>
          <w:bCs/>
          <w:sz w:val="28"/>
          <w:szCs w:val="32"/>
        </w:rPr>
        <w:t>二、平台研究方向与科研水平：</w:t>
      </w:r>
    </w:p>
    <w:p>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本研究所聚焦于各类恶型肿瘤的发生发展机制、肿瘤耐药（尤其是免疫检查点抑制剂耐药）机制研究、新型抗肿瘤药物机制的相关研究，研究所近三年共计开展</w:t>
      </w:r>
      <w:r>
        <w:rPr>
          <w:rFonts w:hint="eastAsia" w:ascii="宋体" w:hAnsi="宋体" w:eastAsia="宋体" w:cs="宋体"/>
        </w:rPr>
        <w:t>9 项国家抗肿瘤新药临床研究、新型肿瘤分子标志物的基础与转化研究</w:t>
      </w:r>
      <w:r>
        <w:rPr>
          <w:rFonts w:hint="eastAsia" w:ascii="宋体" w:hAnsi="宋体" w:eastAsia="宋体" w:cs="宋体"/>
        </w:rPr>
        <w:t>，发表</w:t>
      </w:r>
      <w:r>
        <w:rPr>
          <w:rFonts w:hint="eastAsia" w:ascii="宋体" w:hAnsi="宋体" w:eastAsia="宋体" w:cs="宋体"/>
        </w:rPr>
        <w:t>23 篇SCI 学术文章（包括JCR 一区：1</w:t>
      </w:r>
      <w:r>
        <w:rPr>
          <w:rFonts w:hint="eastAsia" w:ascii="宋体" w:hAnsi="宋体" w:eastAsia="宋体" w:cs="宋体"/>
        </w:rPr>
        <w:t>篇；</w:t>
      </w:r>
      <w:r>
        <w:rPr>
          <w:rFonts w:hint="eastAsia" w:ascii="宋体" w:hAnsi="宋体" w:eastAsia="宋体" w:cs="宋体"/>
        </w:rPr>
        <w:t>JCR 二区：5 篇；JCR 三区与四区17 篇），代表性论文发表在国际知名期刊Molecular</w:t>
      </w:r>
      <w:r>
        <w:rPr>
          <w:rFonts w:hint="eastAsia" w:ascii="宋体" w:hAnsi="宋体" w:eastAsia="宋体" w:cs="宋体"/>
        </w:rPr>
        <w:t xml:space="preserve"> </w:t>
      </w:r>
      <w:r>
        <w:rPr>
          <w:rFonts w:hint="eastAsia" w:ascii="宋体" w:hAnsi="宋体" w:eastAsia="宋体" w:cs="宋体"/>
        </w:rPr>
        <w:t>metabolism；申报到包括国自然、省自然等在内的8 项科研课题，申请所得经费累计645 万元；作为编委参与国家卫生健康委员会“十三五”住院医师规范化培训规划教</w:t>
      </w:r>
      <w:r>
        <w:rPr>
          <w:rFonts w:hint="eastAsia" w:ascii="宋体" w:hAnsi="宋体" w:eastAsia="宋体" w:cs="宋体"/>
        </w:rPr>
        <w:t>材《医患沟通技能训练》（第</w:t>
      </w:r>
      <w:r>
        <w:rPr>
          <w:rFonts w:hint="eastAsia" w:ascii="宋体" w:hAnsi="宋体" w:eastAsia="宋体" w:cs="宋体"/>
        </w:rPr>
        <w:t>2 版）编写，申请实用新型专利产品1 项。</w:t>
      </w:r>
      <w:r>
        <w:rPr>
          <w:rFonts w:hint="eastAsia" w:ascii="宋体" w:hAnsi="宋体" w:eastAsia="宋体" w:cs="宋体"/>
        </w:rPr>
        <w:t>同时，本研究所不断加强肿瘤标本库及临床资料数据库的建设，拓展转化医学研究平台，开展</w:t>
      </w:r>
      <w:r>
        <w:rPr>
          <w:rFonts w:hint="eastAsia" w:ascii="宋体" w:hAnsi="宋体" w:eastAsia="宋体" w:cs="宋体"/>
        </w:rPr>
        <w:t xml:space="preserve">11 </w:t>
      </w:r>
      <w:r>
        <w:rPr>
          <w:rFonts w:hint="eastAsia" w:ascii="宋体" w:hAnsi="宋体" w:eastAsia="宋体" w:cs="宋体"/>
        </w:rPr>
        <w:t>项国家抗肿瘤新药临床研究；组建基础和临床紧密结合的研究团队，进一步丰富学科建设内涵，成为医学科学研究、基础医学转化和高水平人才培养的重要基地；研究所还围绕学科研究方向开展多层次的学术交流，积极引进国内外在肿瘤研究领域活跃的中青年学术带头人或优秀人才，</w:t>
      </w:r>
      <w:r>
        <w:rPr>
          <w:rFonts w:hint="eastAsia" w:ascii="宋体" w:hAnsi="宋体" w:eastAsia="宋体" w:cs="宋体"/>
          <w:lang w:val="en-US" w:eastAsia="zh-CN"/>
        </w:rPr>
        <w:t>培养</w:t>
      </w:r>
      <w:r>
        <w:rPr>
          <w:rFonts w:hint="eastAsia" w:ascii="宋体" w:hAnsi="宋体" w:eastAsia="宋体" w:cs="宋体"/>
        </w:rPr>
        <w:t>博士、硕士研究生和科研课题申报、参与学科发展方向等重大决策以及进行各种形式的学术交流，推动学科建设；在基础设施和平台建设方面，本研究所通过不断改善实验室环境，促进资源共享等措施来完善实验室建设，逐步落实与优化实验室的硬件与软件，为高质量科研成果的产出奠定了坚实的基础。</w:t>
      </w:r>
      <w:r>
        <w:rPr>
          <w:rFonts w:hint="eastAsia" w:ascii="宋体" w:hAnsi="宋体" w:eastAsia="宋体" w:cs="宋体"/>
        </w:rPr>
        <w:t>本研</w:t>
      </w:r>
      <w:r>
        <w:rPr>
          <w:rFonts w:hint="eastAsia" w:ascii="宋体" w:hAnsi="宋体" w:eastAsia="宋体" w:cs="宋体"/>
        </w:rPr>
        <w:t>究所与科室协调共进，重视</w:t>
      </w:r>
      <w:r>
        <w:rPr>
          <w:rFonts w:hint="eastAsia" w:ascii="宋体" w:hAnsi="宋体" w:eastAsia="宋体" w:cs="宋体"/>
        </w:rPr>
        <w:t>MDT全程管理，参与肿瘤多个亚专业的MDT，综合治疗肿瘤患者，以便取</w:t>
      </w:r>
      <w:r>
        <w:rPr>
          <w:rFonts w:hint="eastAsia" w:ascii="宋体" w:hAnsi="宋体" w:eastAsia="宋体" w:cs="宋体"/>
        </w:rPr>
        <w:t>得最佳疗效。</w:t>
      </w:r>
    </w:p>
    <w:p>
      <w:pPr>
        <w:autoSpaceDE w:val="0"/>
        <w:autoSpaceDN w:val="0"/>
        <w:adjustRightInd w:val="0"/>
        <w:jc w:val="left"/>
        <w:rPr>
          <w:rFonts w:hint="eastAsia" w:ascii="宋体" w:hAnsi="宋体" w:eastAsia="宋体" w:cs="宋体"/>
          <w:b/>
          <w:bCs/>
          <w:kern w:val="0"/>
          <w:sz w:val="28"/>
          <w:szCs w:val="28"/>
        </w:rPr>
      </w:pPr>
      <w:r>
        <w:rPr>
          <w:rFonts w:hint="eastAsia" w:ascii="宋体" w:hAnsi="宋体" w:eastAsia="宋体" w:cs="宋体"/>
          <w:b/>
          <w:bCs/>
          <w:sz w:val="28"/>
          <w:szCs w:val="32"/>
        </w:rPr>
        <w:t>三、</w:t>
      </w:r>
      <w:r>
        <w:rPr>
          <w:rFonts w:hint="eastAsia" w:ascii="宋体" w:hAnsi="宋体" w:eastAsia="宋体" w:cs="宋体"/>
          <w:b/>
          <w:bCs/>
          <w:kern w:val="0"/>
          <w:sz w:val="28"/>
          <w:szCs w:val="28"/>
        </w:rPr>
        <w:t>人才结构和队伍建设：</w:t>
      </w:r>
    </w:p>
    <w:p>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本研究所以人为本，通过浓厚的学术氛围和良好的培养条件，促进了人才培养。为指导硕士，博士研究生提供坚实的基础。目前医生人数共</w:t>
      </w:r>
      <w:r>
        <w:rPr>
          <w:rFonts w:hint="eastAsia" w:ascii="宋体" w:hAnsi="宋体" w:eastAsia="宋体" w:cs="宋体"/>
        </w:rPr>
        <w:t>2</w:t>
      </w:r>
      <w:r>
        <w:rPr>
          <w:rFonts w:hint="eastAsia" w:ascii="宋体" w:hAnsi="宋体" w:eastAsia="宋体" w:cs="宋体"/>
          <w:lang w:val="en-US" w:eastAsia="zh-CN"/>
        </w:rPr>
        <w:t>4</w:t>
      </w:r>
      <w:r>
        <w:rPr>
          <w:rFonts w:hint="eastAsia" w:ascii="宋体" w:hAnsi="宋体" w:eastAsia="宋体" w:cs="宋体"/>
        </w:rPr>
        <w:t>名，其中博士学位</w:t>
      </w:r>
      <w:r>
        <w:rPr>
          <w:rFonts w:hint="eastAsia" w:ascii="宋体" w:hAnsi="宋体" w:eastAsia="宋体" w:cs="宋体"/>
        </w:rPr>
        <w:t xml:space="preserve">7 </w:t>
      </w:r>
      <w:r>
        <w:rPr>
          <w:rFonts w:hint="eastAsia" w:ascii="宋体" w:hAnsi="宋体" w:eastAsia="宋体" w:cs="宋体"/>
        </w:rPr>
        <w:t>名、硕士学位</w:t>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名，主任医师</w:t>
      </w:r>
      <w:r>
        <w:rPr>
          <w:rFonts w:hint="eastAsia" w:ascii="宋体" w:hAnsi="宋体" w:eastAsia="宋体" w:cs="宋体"/>
          <w:lang w:val="en-US" w:eastAsia="zh-CN"/>
        </w:rPr>
        <w:t>3</w:t>
      </w:r>
      <w:r>
        <w:rPr>
          <w:rFonts w:hint="eastAsia" w:ascii="宋体" w:hAnsi="宋体" w:eastAsia="宋体" w:cs="宋体"/>
        </w:rPr>
        <w:t>名、副主任医师</w:t>
      </w:r>
      <w:r>
        <w:rPr>
          <w:rFonts w:hint="eastAsia" w:ascii="宋体" w:hAnsi="宋体" w:eastAsia="宋体" w:cs="宋体"/>
        </w:rPr>
        <w:t xml:space="preserve">6 </w:t>
      </w:r>
      <w:r>
        <w:rPr>
          <w:rFonts w:hint="eastAsia" w:ascii="宋体" w:hAnsi="宋体" w:eastAsia="宋体" w:cs="宋体"/>
        </w:rPr>
        <w:t>名、主治医师</w:t>
      </w:r>
      <w:r>
        <w:rPr>
          <w:rFonts w:hint="eastAsia" w:ascii="宋体" w:hAnsi="宋体" w:eastAsia="宋体" w:cs="宋体"/>
        </w:rPr>
        <w:t xml:space="preserve">18 </w:t>
      </w:r>
      <w:r>
        <w:rPr>
          <w:rFonts w:hint="eastAsia" w:ascii="宋体" w:hAnsi="宋体" w:eastAsia="宋体" w:cs="宋体"/>
        </w:rPr>
        <w:t>名。博士生导师</w:t>
      </w:r>
      <w:r>
        <w:rPr>
          <w:rFonts w:hint="eastAsia" w:ascii="宋体" w:hAnsi="宋体" w:eastAsia="宋体" w:cs="宋体"/>
        </w:rPr>
        <w:t xml:space="preserve">1 </w:t>
      </w:r>
      <w:r>
        <w:rPr>
          <w:rFonts w:hint="eastAsia" w:ascii="宋体" w:hAnsi="宋体" w:eastAsia="宋体" w:cs="宋体"/>
        </w:rPr>
        <w:t>名，硕士生导师</w:t>
      </w:r>
      <w:r>
        <w:rPr>
          <w:rFonts w:hint="eastAsia" w:ascii="宋体" w:hAnsi="宋体" w:eastAsia="宋体" w:cs="宋体"/>
        </w:rPr>
        <w:t xml:space="preserve">6 </w:t>
      </w:r>
      <w:r>
        <w:rPr>
          <w:rFonts w:hint="eastAsia" w:ascii="宋体" w:hAnsi="宋体" w:eastAsia="宋体" w:cs="宋体"/>
        </w:rPr>
        <w:t>名，形成了一支结构合理的高水平研究人才梯队。</w:t>
      </w:r>
    </w:p>
    <w:p>
      <w:pPr>
        <w:autoSpaceDE w:val="0"/>
        <w:autoSpaceDN w:val="0"/>
        <w:adjustRightInd w:val="0"/>
        <w:jc w:val="left"/>
        <w:rPr>
          <w:rFonts w:hint="eastAsia" w:ascii="宋体" w:hAnsi="宋体" w:eastAsia="宋体" w:cs="宋体"/>
          <w:b/>
          <w:bCs/>
        </w:rPr>
      </w:pPr>
      <w:r>
        <w:rPr>
          <w:rFonts w:hint="eastAsia" w:ascii="宋体" w:hAnsi="宋体" w:eastAsia="宋体" w:cs="宋体"/>
          <w:b/>
          <w:bCs/>
          <w:sz w:val="28"/>
          <w:szCs w:val="32"/>
        </w:rPr>
        <w:t>四、学术交流和开放服务</w:t>
      </w:r>
    </w:p>
    <w:p>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本研究所积极开展各类学术交流研讨会，有三名教师为福建医科大学面向专业学位型博士</w:t>
      </w:r>
      <w:r>
        <w:rPr>
          <w:rFonts w:hint="eastAsia" w:ascii="宋体" w:hAnsi="宋体" w:eastAsia="宋体" w:cs="宋体"/>
        </w:rPr>
        <w:t>/</w:t>
      </w:r>
      <w:r>
        <w:rPr>
          <w:rFonts w:hint="eastAsia" w:ascii="宋体" w:hAnsi="宋体" w:eastAsia="宋体" w:cs="宋体"/>
        </w:rPr>
        <w:t xml:space="preserve">硕士研究生开展核心课程“临床技能（诊疗技能、沟通技能）”学习研讨会，线上学习累计 </w:t>
      </w:r>
      <w:r>
        <w:rPr>
          <w:rFonts w:hint="eastAsia" w:ascii="宋体" w:hAnsi="宋体" w:eastAsia="宋体" w:cs="宋体"/>
        </w:rPr>
        <w:t xml:space="preserve">1200 </w:t>
      </w:r>
      <w:r>
        <w:rPr>
          <w:rFonts w:hint="eastAsia" w:ascii="宋体" w:hAnsi="宋体" w:eastAsia="宋体" w:cs="宋体"/>
        </w:rPr>
        <w:t xml:space="preserve">人次；积极参与各类学术会议，主办了包括2021 </w:t>
      </w:r>
      <w:r>
        <w:rPr>
          <w:rFonts w:hint="eastAsia" w:ascii="宋体" w:hAnsi="宋体" w:eastAsia="宋体" w:cs="宋体"/>
        </w:rPr>
        <w:t xml:space="preserve">肺肿瘤微创介入治疗高峰论坛（全国）浏览量 </w:t>
      </w:r>
      <w:r>
        <w:rPr>
          <w:rFonts w:hint="eastAsia" w:ascii="宋体" w:hAnsi="宋体" w:eastAsia="宋体" w:cs="宋体"/>
        </w:rPr>
        <w:t xml:space="preserve">6 </w:t>
      </w:r>
      <w:r>
        <w:rPr>
          <w:rFonts w:hint="eastAsia" w:ascii="宋体" w:hAnsi="宋体" w:eastAsia="宋体" w:cs="宋体"/>
        </w:rPr>
        <w:t xml:space="preserve">万人次以及 </w:t>
      </w:r>
      <w:r>
        <w:rPr>
          <w:rFonts w:hint="eastAsia" w:ascii="宋体" w:hAnsi="宋体" w:eastAsia="宋体" w:cs="宋体"/>
        </w:rPr>
        <w:t xml:space="preserve">2022 </w:t>
      </w:r>
      <w:r>
        <w:rPr>
          <w:rFonts w:hint="eastAsia" w:ascii="宋体" w:hAnsi="宋体" w:eastAsia="宋体" w:cs="宋体"/>
        </w:rPr>
        <w:t xml:space="preserve">年介入技术新进展高峰论坛（全国）浏览量约 </w:t>
      </w:r>
      <w:r>
        <w:rPr>
          <w:rFonts w:hint="eastAsia" w:ascii="宋体" w:hAnsi="宋体" w:eastAsia="宋体" w:cs="宋体"/>
        </w:rPr>
        <w:t xml:space="preserve">5.8 </w:t>
      </w:r>
      <w:r>
        <w:rPr>
          <w:rFonts w:hint="eastAsia" w:ascii="宋体" w:hAnsi="宋体" w:eastAsia="宋体" w:cs="宋体"/>
        </w:rPr>
        <w:t xml:space="preserve">万人次，为研究所科研与临床建设，追踪前沿动态提供坚实的理论基础。在业余时间，研究所成员也积极参加在福建省抗癌学会组织的学术交流活动，以便提高肿瘤学科在全省的学术地位。目前学术任职包含：福建省医师协会肿瘤内科分会副主委 </w:t>
      </w:r>
      <w:r>
        <w:rPr>
          <w:rFonts w:hint="eastAsia" w:ascii="宋体" w:hAnsi="宋体" w:eastAsia="宋体" w:cs="宋体"/>
        </w:rPr>
        <w:t xml:space="preserve">1 </w:t>
      </w:r>
      <w:r>
        <w:rPr>
          <w:rFonts w:hint="eastAsia" w:ascii="宋体" w:hAnsi="宋体" w:eastAsia="宋体" w:cs="宋体"/>
        </w:rPr>
        <w:t xml:space="preserve">名、常委 </w:t>
      </w:r>
      <w:r>
        <w:rPr>
          <w:rFonts w:hint="eastAsia" w:ascii="宋体" w:hAnsi="宋体" w:eastAsia="宋体" w:cs="宋体"/>
        </w:rPr>
        <w:t xml:space="preserve">1 </w:t>
      </w:r>
      <w:r>
        <w:rPr>
          <w:rFonts w:hint="eastAsia" w:ascii="宋体" w:hAnsi="宋体" w:eastAsia="宋体" w:cs="宋体"/>
        </w:rPr>
        <w:t>名；福建省抗癌协会神经内分泌肿瘤专委会</w:t>
      </w:r>
      <w:r>
        <w:rPr>
          <w:rFonts w:hint="eastAsia" w:ascii="宋体" w:hAnsi="宋体" w:eastAsia="宋体" w:cs="宋体"/>
          <w:lang w:val="en-US" w:eastAsia="zh-CN"/>
        </w:rPr>
        <w:t>副主委 1 名</w:t>
      </w:r>
      <w:r>
        <w:rPr>
          <w:rFonts w:hint="eastAsia" w:ascii="宋体" w:hAnsi="宋体" w:eastAsia="宋体" w:cs="宋体"/>
        </w:rPr>
        <w:t>；福建省预防医学会预防与转化医学会</w:t>
      </w:r>
      <w:r>
        <w:rPr>
          <w:rFonts w:hint="eastAsia" w:ascii="宋体" w:hAnsi="宋体" w:eastAsia="宋体" w:cs="宋体"/>
          <w:lang w:val="en-US" w:eastAsia="zh-CN"/>
        </w:rPr>
        <w:t>副主委 1 名；</w:t>
      </w:r>
      <w:r>
        <w:rPr>
          <w:rFonts w:hint="eastAsia" w:ascii="宋体" w:hAnsi="宋体" w:eastAsia="宋体" w:cs="宋体"/>
        </w:rPr>
        <w:t xml:space="preserve">中国抗癌联盟福建省口腔肿瘤专业委员会副主委 </w:t>
      </w:r>
      <w:r>
        <w:rPr>
          <w:rFonts w:hint="eastAsia" w:ascii="宋体" w:hAnsi="宋体" w:eastAsia="宋体" w:cs="宋体"/>
        </w:rPr>
        <w:t xml:space="preserve">1 </w:t>
      </w:r>
      <w:r>
        <w:rPr>
          <w:rFonts w:hint="eastAsia" w:ascii="宋体" w:hAnsi="宋体" w:eastAsia="宋体" w:cs="宋体"/>
        </w:rPr>
        <w:t xml:space="preserve">名；福建省海峡肿瘤防治科技交流协会精准医学专业委员会副主委 </w:t>
      </w:r>
      <w:r>
        <w:rPr>
          <w:rFonts w:hint="eastAsia" w:ascii="宋体" w:hAnsi="宋体" w:eastAsia="宋体" w:cs="宋体"/>
        </w:rPr>
        <w:t xml:space="preserve">1 </w:t>
      </w:r>
      <w:r>
        <w:rPr>
          <w:rFonts w:hint="eastAsia" w:ascii="宋体" w:hAnsi="宋体" w:eastAsia="宋体" w:cs="宋体"/>
        </w:rPr>
        <w:t xml:space="preserve">名；福建省肿瘤免疫质控中心专家组成员 </w:t>
      </w:r>
      <w:r>
        <w:rPr>
          <w:rFonts w:hint="eastAsia" w:ascii="宋体" w:hAnsi="宋体" w:eastAsia="宋体" w:cs="宋体"/>
        </w:rPr>
        <w:t xml:space="preserve">1 </w:t>
      </w:r>
      <w:r>
        <w:rPr>
          <w:rFonts w:hint="eastAsia" w:ascii="宋体" w:hAnsi="宋体" w:eastAsia="宋体" w:cs="宋体"/>
        </w:rPr>
        <w:t>名；福建省抗癌协会姑息专业委员会</w:t>
      </w:r>
      <w:r>
        <w:rPr>
          <w:rFonts w:hint="eastAsia" w:ascii="宋体" w:hAnsi="宋体" w:eastAsia="宋体" w:cs="宋体"/>
          <w:lang w:val="en-US" w:eastAsia="zh-CN"/>
        </w:rPr>
        <w:t xml:space="preserve">副主委 </w:t>
      </w:r>
      <w:r>
        <w:rPr>
          <w:rFonts w:hint="eastAsia" w:ascii="宋体" w:hAnsi="宋体" w:eastAsia="宋体" w:cs="宋体"/>
        </w:rPr>
        <w:t xml:space="preserve">1 </w:t>
      </w:r>
      <w:r>
        <w:rPr>
          <w:rFonts w:hint="eastAsia" w:ascii="宋体" w:hAnsi="宋体" w:eastAsia="宋体" w:cs="宋体"/>
        </w:rPr>
        <w:t xml:space="preserve">名；福建省抗癌协会神经肿瘤专业委员会常委 </w:t>
      </w:r>
      <w:r>
        <w:rPr>
          <w:rFonts w:hint="eastAsia" w:ascii="宋体" w:hAnsi="宋体" w:eastAsia="宋体" w:cs="宋体"/>
        </w:rPr>
        <w:t xml:space="preserve">1 </w:t>
      </w:r>
      <w:r>
        <w:rPr>
          <w:rFonts w:hint="eastAsia" w:ascii="宋体" w:hAnsi="宋体" w:eastAsia="宋体" w:cs="宋体"/>
        </w:rPr>
        <w:t xml:space="preserve">名；北京医学奖励基金会肿瘤多学科诊疗专家委员会常委 </w:t>
      </w:r>
      <w:r>
        <w:rPr>
          <w:rFonts w:hint="eastAsia" w:ascii="宋体" w:hAnsi="宋体" w:eastAsia="宋体" w:cs="宋体"/>
        </w:rPr>
        <w:t xml:space="preserve">1 </w:t>
      </w:r>
      <w:r>
        <w:rPr>
          <w:rFonts w:hint="eastAsia" w:ascii="宋体" w:hAnsi="宋体" w:eastAsia="宋体" w:cs="宋体"/>
        </w:rPr>
        <w:t>名。</w:t>
      </w:r>
    </w:p>
    <w:p>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sz w:val="28"/>
          <w:szCs w:val="32"/>
        </w:rPr>
        <w:t>五、图片展示</w:t>
      </w:r>
      <w:r>
        <w:rPr>
          <w:rFonts w:hint="eastAsia" w:ascii="宋体" w:hAnsi="宋体" w:eastAsia="宋体" w:cs="宋体"/>
          <w:b/>
          <w:bCs/>
          <w:sz w:val="28"/>
          <w:szCs w:val="32"/>
          <w:lang w:val="en-US" w:eastAsia="zh-CN"/>
        </w:rPr>
        <w:t>（</w:t>
      </w:r>
      <w:bookmarkStart w:id="0" w:name="_GoBack"/>
      <w:bookmarkEnd w:id="0"/>
      <w:r>
        <w:rPr>
          <w:rFonts w:hint="eastAsia" w:ascii="宋体" w:hAnsi="宋体" w:eastAsia="宋体" w:cs="宋体"/>
          <w:b/>
          <w:bCs/>
          <w:sz w:val="28"/>
          <w:szCs w:val="32"/>
        </w:rPr>
        <w:t>实验室部分图片</w:t>
      </w:r>
      <w:r>
        <w:rPr>
          <w:rFonts w:hint="eastAsia" w:ascii="宋体" w:hAnsi="宋体" w:eastAsia="宋体" w:cs="宋体"/>
          <w:b/>
          <w:bCs/>
          <w:sz w:val="28"/>
          <w:szCs w:val="32"/>
          <w:lang w:eastAsia="zh-CN"/>
        </w:rPr>
        <w:t>）</w:t>
      </w:r>
      <w:r>
        <w:rPr>
          <w:rFonts w:hint="eastAsia" w:ascii="宋体" w:hAnsi="宋体" w:eastAsia="宋体" w:cs="宋体"/>
          <w:b/>
          <w:bCs/>
          <w:sz w:val="28"/>
          <w:szCs w:val="32"/>
        </w:rPr>
        <w:t>：</w:t>
      </w:r>
    </w:p>
    <w:p>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60960</wp:posOffset>
            </wp:positionH>
            <wp:positionV relativeFrom="paragraph">
              <wp:posOffset>138430</wp:posOffset>
            </wp:positionV>
            <wp:extent cx="3104515" cy="2328545"/>
            <wp:effectExtent l="0" t="0" r="635" b="0"/>
            <wp:wrapTopAndBottom/>
            <wp:docPr id="1045996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6238"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4515" cy="2328545"/>
                    </a:xfrm>
                    <a:prstGeom prst="rect">
                      <a:avLst/>
                    </a:prstGeom>
                  </pic:spPr>
                </pic:pic>
              </a:graphicData>
            </a:graphic>
          </wp:anchor>
        </w:drawing>
      </w:r>
    </w:p>
    <w:p>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margin">
              <wp:posOffset>0</wp:posOffset>
            </wp:positionH>
            <wp:positionV relativeFrom="paragraph">
              <wp:posOffset>42545</wp:posOffset>
            </wp:positionV>
            <wp:extent cx="3582035" cy="2686685"/>
            <wp:effectExtent l="0" t="0" r="0" b="0"/>
            <wp:wrapTopAndBottom/>
            <wp:docPr id="12558922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9223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2035" cy="2686685"/>
                    </a:xfrm>
                    <a:prstGeom prst="rect">
                      <a:avLst/>
                    </a:prstGeom>
                  </pic:spPr>
                </pic:pic>
              </a:graphicData>
            </a:graphic>
          </wp:anchor>
        </w:draw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ZTJhYzQ3YTkxYWRiODEyOTU2MTRiMDNkNjdjOWQifQ=="/>
  </w:docVars>
  <w:rsids>
    <w:rsidRoot w:val="007155D1"/>
    <w:rsid w:val="001C4EBD"/>
    <w:rsid w:val="003A3E52"/>
    <w:rsid w:val="006C1842"/>
    <w:rsid w:val="007017B8"/>
    <w:rsid w:val="007155D1"/>
    <w:rsid w:val="00744EDA"/>
    <w:rsid w:val="007A3018"/>
    <w:rsid w:val="007E10F2"/>
    <w:rsid w:val="00B54895"/>
    <w:rsid w:val="00E24C09"/>
    <w:rsid w:val="00E518A3"/>
    <w:rsid w:val="068E7C41"/>
    <w:rsid w:val="0D9F26FE"/>
    <w:rsid w:val="14BD5E7D"/>
    <w:rsid w:val="196F3DDF"/>
    <w:rsid w:val="2F4011D4"/>
    <w:rsid w:val="465F41FD"/>
    <w:rsid w:val="5EEE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1429</Words>
  <Characters>1480</Characters>
  <Lines>11</Lines>
  <Paragraphs>3</Paragraphs>
  <TotalTime>0</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2023-07-18T08:11:00Z</dcterms:created>
  <dc:creator>子明 王</dc:creator>
  <cp:lastModifiedBy>Doctor Friend Strong</cp:lastModifiedBy>
  <dcterms:modified xsi:type="dcterms:W3CDTF">2023-07-18T10:43:03Z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8EDA3BD2689F472C8499989C59C11F09_12</vt:lpwstr>
  </property>
</Properties>
</file>